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05" w:rsidRDefault="00983475" w:rsidP="00DC6B05">
      <w:pPr>
        <w:jc w:val="center"/>
        <w:rPr>
          <w:rFonts w:ascii="Verdana" w:hAnsi="Verdana" w:cs="Verdana"/>
          <w:b/>
          <w:bCs/>
          <w:sz w:val="36"/>
          <w:szCs w:val="36"/>
          <w:lang w:val="en-GB"/>
        </w:rPr>
      </w:pPr>
      <w:r>
        <w:rPr>
          <w:rFonts w:ascii="Verdana" w:hAnsi="Verdana" w:cs="Verdana"/>
          <w:b/>
          <w:bCs/>
          <w:sz w:val="36"/>
          <w:szCs w:val="36"/>
          <w:lang w:val="en-GB"/>
        </w:rPr>
        <w:t xml:space="preserve">Housing Needs </w:t>
      </w:r>
      <w:r w:rsidR="009D2C89">
        <w:rPr>
          <w:rFonts w:ascii="Verdana" w:hAnsi="Verdana" w:cs="Verdana"/>
          <w:b/>
          <w:bCs/>
          <w:sz w:val="36"/>
          <w:szCs w:val="36"/>
          <w:lang w:val="en-GB"/>
        </w:rPr>
        <w:t>Survey</w:t>
      </w:r>
      <w:r w:rsidR="00DC6B05">
        <w:rPr>
          <w:rFonts w:ascii="Verdana" w:hAnsi="Verdana" w:cs="Verdana"/>
          <w:b/>
          <w:bCs/>
          <w:sz w:val="36"/>
          <w:szCs w:val="36"/>
          <w:lang w:val="en-GB"/>
        </w:rPr>
        <w:t xml:space="preserve"> Report</w:t>
      </w:r>
    </w:p>
    <w:p w:rsidR="00DC6B05" w:rsidRDefault="00DC6B05" w:rsidP="00DC6B05">
      <w:pPr>
        <w:jc w:val="center"/>
        <w:rPr>
          <w:rFonts w:ascii="Verdana" w:hAnsi="Verdana" w:cs="Verdana"/>
          <w:b/>
          <w:bCs/>
          <w:sz w:val="36"/>
          <w:szCs w:val="36"/>
          <w:lang w:val="en-GB"/>
        </w:rPr>
      </w:pPr>
    </w:p>
    <w:p w:rsidR="00DC6B05" w:rsidRDefault="00AA2D26" w:rsidP="00DC6B05">
      <w:pPr>
        <w:jc w:val="center"/>
        <w:rPr>
          <w:rFonts w:ascii="Verdana" w:hAnsi="Verdana" w:cs="Verdana"/>
          <w:b/>
          <w:bCs/>
          <w:sz w:val="36"/>
          <w:szCs w:val="36"/>
          <w:lang w:val="en-GB"/>
        </w:rPr>
      </w:pPr>
      <w:r>
        <w:rPr>
          <w:rFonts w:ascii="Verdana" w:hAnsi="Verdana" w:cs="Verdana"/>
          <w:b/>
          <w:bCs/>
          <w:sz w:val="36"/>
          <w:szCs w:val="36"/>
          <w:lang w:val="en-GB"/>
        </w:rPr>
        <w:t>Oakley</w:t>
      </w:r>
    </w:p>
    <w:p w:rsidR="009D2C89" w:rsidRDefault="009D2C89">
      <w:pPr>
        <w:jc w:val="center"/>
        <w:rPr>
          <w:rFonts w:ascii="Verdana" w:hAnsi="Verdana" w:cs="Verdana"/>
          <w:b/>
          <w:bCs/>
          <w:sz w:val="36"/>
          <w:szCs w:val="36"/>
          <w:lang w:val="en-GB"/>
        </w:rPr>
      </w:pPr>
    </w:p>
    <w:p w:rsidR="009D2C89" w:rsidRDefault="00AA2D26">
      <w:pPr>
        <w:jc w:val="center"/>
        <w:rPr>
          <w:rFonts w:ascii="Verdana" w:hAnsi="Verdana" w:cs="Verdana"/>
          <w:b/>
          <w:bCs/>
          <w:sz w:val="28"/>
          <w:szCs w:val="28"/>
          <w:lang w:val="en-GB"/>
        </w:rPr>
      </w:pPr>
      <w:r>
        <w:rPr>
          <w:rFonts w:ascii="Verdana" w:hAnsi="Verdana" w:cs="Verdana"/>
          <w:b/>
          <w:bCs/>
          <w:sz w:val="28"/>
          <w:szCs w:val="28"/>
          <w:lang w:val="en-GB"/>
        </w:rPr>
        <w:t>March</w:t>
      </w:r>
      <w:r w:rsidR="00F64AE4">
        <w:rPr>
          <w:rFonts w:ascii="Verdana" w:hAnsi="Verdana" w:cs="Verdana"/>
          <w:b/>
          <w:bCs/>
          <w:sz w:val="28"/>
          <w:szCs w:val="28"/>
          <w:lang w:val="en-GB"/>
        </w:rPr>
        <w:t xml:space="preserve"> </w:t>
      </w:r>
      <w:r w:rsidR="000B0988">
        <w:rPr>
          <w:rFonts w:ascii="Verdana" w:hAnsi="Verdana" w:cs="Verdana"/>
          <w:b/>
          <w:bCs/>
          <w:sz w:val="28"/>
          <w:szCs w:val="28"/>
          <w:lang w:val="en-GB"/>
        </w:rPr>
        <w:t>2016</w:t>
      </w:r>
    </w:p>
    <w:p w:rsidR="009D2C89" w:rsidRDefault="009D2C89">
      <w:pPr>
        <w:jc w:val="center"/>
        <w:rPr>
          <w:rFonts w:ascii="Verdana" w:hAnsi="Verdana" w:cs="Verdana"/>
          <w:b/>
          <w:b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r>
        <w:rPr>
          <w:rFonts w:ascii="Verdana" w:hAnsi="Verdana" w:cs="Verdana"/>
          <w:i/>
          <w:iCs/>
          <w:sz w:val="22"/>
          <w:szCs w:val="22"/>
          <w:lang w:val="en-GB"/>
        </w:rPr>
        <w:t>Completed by Bedfordshire Rural Communities Charity</w:t>
      </w: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6F30FD" w:rsidP="008D2812">
      <w:pPr>
        <w:jc w:val="center"/>
        <w:rPr>
          <w:rFonts w:ascii="Verdana" w:hAnsi="Verdana" w:cs="Verdana"/>
          <w:i/>
          <w:iCs/>
          <w:sz w:val="22"/>
          <w:szCs w:val="22"/>
          <w:lang w:val="en-GB"/>
        </w:rPr>
      </w:pPr>
      <w:r>
        <w:rPr>
          <w:rFonts w:ascii="Verdana" w:hAnsi="Verdana" w:cs="Verdana"/>
          <w:b/>
          <w:bCs/>
          <w:noProof/>
          <w:sz w:val="22"/>
          <w:szCs w:val="22"/>
          <w:lang w:val="en-GB"/>
        </w:rPr>
        <w:drawing>
          <wp:anchor distT="0" distB="0" distL="114300" distR="114300" simplePos="0" relativeHeight="251657728" behindDoc="1" locked="0" layoutInCell="1" allowOverlap="1" wp14:anchorId="78F37FD7" wp14:editId="307C5C5C">
            <wp:simplePos x="0" y="0"/>
            <wp:positionH relativeFrom="column">
              <wp:posOffset>1771650</wp:posOffset>
            </wp:positionH>
            <wp:positionV relativeFrom="paragraph">
              <wp:posOffset>131445</wp:posOffset>
            </wp:positionV>
            <wp:extent cx="2484120" cy="2484120"/>
            <wp:effectExtent l="0" t="0" r="0" b="0"/>
            <wp:wrapNone/>
            <wp:docPr id="2" name="Picture 2" descr="BRCC_Glass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CC_Glass_log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8D2812" w:rsidRDefault="008D2812" w:rsidP="008D2812">
      <w:pPr>
        <w:jc w:val="center"/>
        <w:rPr>
          <w:rFonts w:ascii="Verdana" w:hAnsi="Verdana" w:cs="Verdana"/>
          <w:i/>
          <w:iCs/>
          <w:sz w:val="22"/>
          <w:szCs w:val="22"/>
          <w:lang w:val="en-GB"/>
        </w:rPr>
      </w:pPr>
    </w:p>
    <w:p w:rsidR="009D2C89" w:rsidRDefault="009D2C89">
      <w:pPr>
        <w:jc w:val="center"/>
        <w:rPr>
          <w:rFonts w:ascii="Verdana" w:hAnsi="Verdana" w:cs="Verdana"/>
          <w:b/>
          <w:bCs/>
          <w:sz w:val="22"/>
          <w:szCs w:val="22"/>
          <w:lang w:val="en-GB"/>
        </w:rPr>
      </w:pPr>
    </w:p>
    <w:p w:rsidR="009D2C89" w:rsidRDefault="009D2C89">
      <w:pPr>
        <w:tabs>
          <w:tab w:val="left" w:pos="182"/>
        </w:tabs>
        <w:jc w:val="center"/>
        <w:rPr>
          <w:rFonts w:ascii="Verdana" w:hAnsi="Verdana" w:cs="Verdana"/>
          <w:b/>
          <w:bCs/>
          <w:sz w:val="22"/>
          <w:szCs w:val="22"/>
          <w:lang w:val="en-GB"/>
        </w:rPr>
      </w:pPr>
    </w:p>
    <w:p w:rsidR="009D2C89" w:rsidRDefault="009D2C89">
      <w:pPr>
        <w:jc w:val="center"/>
        <w:rPr>
          <w:rFonts w:ascii="Verdana" w:hAnsi="Verdana" w:cs="Verdana"/>
          <w:b/>
          <w:bCs/>
          <w:sz w:val="22"/>
          <w:szCs w:val="22"/>
          <w:lang w:val="en-GB"/>
        </w:rPr>
      </w:pPr>
    </w:p>
    <w:p w:rsidR="009D2C89" w:rsidRDefault="009D2C89">
      <w:pPr>
        <w:jc w:val="center"/>
        <w:rPr>
          <w:rFonts w:ascii="Verdana" w:hAnsi="Verdana" w:cs="Verdana"/>
          <w:b/>
          <w:bCs/>
          <w:sz w:val="22"/>
          <w:szCs w:val="22"/>
          <w:lang w:val="en-GB"/>
        </w:rPr>
      </w:pPr>
    </w:p>
    <w:p w:rsidR="009D2C89" w:rsidRDefault="009D2C89" w:rsidP="00DC6B05">
      <w:pPr>
        <w:jc w:val="center"/>
        <w:rPr>
          <w:rFonts w:ascii="Verdana" w:hAnsi="Verdana" w:cs="Verdana"/>
          <w:b/>
          <w:bCs/>
          <w:sz w:val="22"/>
          <w:szCs w:val="22"/>
          <w:lang w:val="en-GB"/>
        </w:rPr>
      </w:pPr>
    </w:p>
    <w:p w:rsidR="009D2C89" w:rsidRDefault="009D2C89">
      <w:pPr>
        <w:rPr>
          <w:rFonts w:ascii="Verdana" w:hAnsi="Verdana" w:cs="Verdana"/>
          <w:b/>
          <w:bCs/>
          <w:sz w:val="22"/>
          <w:szCs w:val="22"/>
          <w:lang w:val="en-GB"/>
        </w:rPr>
      </w:pPr>
    </w:p>
    <w:p w:rsidR="009D2C89" w:rsidRDefault="009D2C89">
      <w:pPr>
        <w:rPr>
          <w:rFonts w:ascii="Verdana" w:hAnsi="Verdana" w:cs="Verdana"/>
          <w:b/>
          <w:bCs/>
          <w:sz w:val="22"/>
          <w:szCs w:val="22"/>
          <w:lang w:val="en-GB"/>
        </w:rPr>
      </w:pPr>
    </w:p>
    <w:p w:rsidR="009D2C89" w:rsidRDefault="009D2C89">
      <w:pPr>
        <w:rPr>
          <w:rFonts w:ascii="Verdana" w:hAnsi="Verdana" w:cs="Verdana"/>
          <w:color w:val="0000FF"/>
          <w:sz w:val="22"/>
          <w:szCs w:val="22"/>
          <w:lang w:val="en-GB"/>
        </w:rPr>
      </w:pPr>
    </w:p>
    <w:p w:rsidR="009D2C89" w:rsidRDefault="009D2C89">
      <w:pPr>
        <w:rPr>
          <w:rFonts w:ascii="Verdana" w:hAnsi="Verdana" w:cs="Verdana"/>
          <w:color w:val="0000FF"/>
          <w:sz w:val="22"/>
          <w:szCs w:val="22"/>
          <w:lang w:val="en-GB"/>
        </w:rPr>
      </w:pPr>
    </w:p>
    <w:p w:rsidR="008D2812" w:rsidRDefault="008D2812">
      <w:pPr>
        <w:rPr>
          <w:rFonts w:ascii="Verdana" w:hAnsi="Verdana" w:cs="Verdana"/>
          <w:sz w:val="18"/>
          <w:szCs w:val="18"/>
          <w:lang w:val="en-GB"/>
        </w:rPr>
      </w:pPr>
    </w:p>
    <w:p w:rsidR="008D2812" w:rsidRDefault="008D2812">
      <w:pPr>
        <w:rPr>
          <w:rFonts w:ascii="Verdana" w:hAnsi="Verdana" w:cs="Verdana"/>
          <w:sz w:val="18"/>
          <w:szCs w:val="18"/>
          <w:lang w:val="en-GB"/>
        </w:rPr>
      </w:pPr>
    </w:p>
    <w:p w:rsidR="008D2812" w:rsidRDefault="008D2812">
      <w:pPr>
        <w:rPr>
          <w:rFonts w:ascii="Verdana" w:hAnsi="Verdana" w:cs="Verdana"/>
          <w:sz w:val="18"/>
          <w:szCs w:val="18"/>
          <w:lang w:val="en-GB"/>
        </w:rPr>
      </w:pPr>
    </w:p>
    <w:p w:rsidR="008D2812" w:rsidRDefault="008D2812">
      <w:pPr>
        <w:rPr>
          <w:rFonts w:ascii="Verdana" w:hAnsi="Verdana" w:cs="Verdana"/>
          <w:sz w:val="18"/>
          <w:szCs w:val="18"/>
          <w:lang w:val="en-GB"/>
        </w:rPr>
      </w:pPr>
    </w:p>
    <w:p w:rsidR="009D2C89" w:rsidRDefault="009D2C89" w:rsidP="008D2812">
      <w:pPr>
        <w:jc w:val="center"/>
        <w:rPr>
          <w:rFonts w:ascii="Verdana" w:hAnsi="Verdana" w:cs="Verdana"/>
          <w:sz w:val="18"/>
          <w:szCs w:val="18"/>
          <w:lang w:val="en-GB"/>
        </w:rPr>
      </w:pPr>
      <w:r>
        <w:rPr>
          <w:rFonts w:ascii="Verdana" w:hAnsi="Verdana" w:cs="Verdana"/>
          <w:sz w:val="18"/>
          <w:szCs w:val="18"/>
          <w:lang w:val="en-GB"/>
        </w:rPr>
        <w:t xml:space="preserve">This report is the property of </w:t>
      </w:r>
      <w:bookmarkStart w:id="0" w:name="_GoBack"/>
      <w:bookmarkEnd w:id="0"/>
      <w:r w:rsidR="00AA2D26">
        <w:rPr>
          <w:rFonts w:ascii="Verdana" w:hAnsi="Verdana" w:cs="Verdana"/>
          <w:sz w:val="18"/>
          <w:szCs w:val="18"/>
          <w:lang w:val="en-GB"/>
        </w:rPr>
        <w:t>Oakley</w:t>
      </w:r>
      <w:r w:rsidR="008D2812">
        <w:rPr>
          <w:rFonts w:ascii="Verdana" w:hAnsi="Verdana" w:cs="Verdana"/>
          <w:sz w:val="18"/>
          <w:szCs w:val="18"/>
          <w:lang w:val="en-GB"/>
        </w:rPr>
        <w:t xml:space="preserve"> P</w:t>
      </w:r>
      <w:r>
        <w:rPr>
          <w:rFonts w:ascii="Verdana" w:hAnsi="Verdana" w:cs="Verdana"/>
          <w:sz w:val="18"/>
          <w:szCs w:val="18"/>
          <w:lang w:val="en-GB"/>
        </w:rPr>
        <w:t xml:space="preserve">arish </w:t>
      </w:r>
      <w:r w:rsidR="008D2812">
        <w:rPr>
          <w:rFonts w:ascii="Verdana" w:hAnsi="Verdana" w:cs="Verdana"/>
          <w:sz w:val="18"/>
          <w:szCs w:val="18"/>
          <w:lang w:val="en-GB"/>
        </w:rPr>
        <w:t>C</w:t>
      </w:r>
      <w:r>
        <w:rPr>
          <w:rFonts w:ascii="Verdana" w:hAnsi="Verdana" w:cs="Verdana"/>
          <w:sz w:val="18"/>
          <w:szCs w:val="18"/>
          <w:lang w:val="en-GB"/>
        </w:rPr>
        <w:t>ouncil.</w:t>
      </w:r>
    </w:p>
    <w:p w:rsidR="009D2C89" w:rsidRDefault="009D2C89" w:rsidP="008D2812">
      <w:pPr>
        <w:jc w:val="center"/>
        <w:rPr>
          <w:rFonts w:ascii="Verdana" w:hAnsi="Verdana" w:cs="Verdana"/>
          <w:sz w:val="18"/>
          <w:szCs w:val="18"/>
          <w:lang w:val="en-GB"/>
        </w:rPr>
      </w:pPr>
    </w:p>
    <w:p w:rsidR="009D2C89" w:rsidRDefault="009D2C89" w:rsidP="008D2812">
      <w:pPr>
        <w:jc w:val="center"/>
        <w:rPr>
          <w:rFonts w:ascii="Verdana" w:hAnsi="Verdana" w:cs="Verdana"/>
          <w:color w:val="0000FF"/>
          <w:sz w:val="18"/>
          <w:szCs w:val="18"/>
          <w:lang w:val="en-GB"/>
        </w:rPr>
      </w:pPr>
      <w:r>
        <w:rPr>
          <w:rFonts w:ascii="Verdana" w:hAnsi="Verdana" w:cs="Verdana"/>
          <w:sz w:val="18"/>
          <w:szCs w:val="18"/>
          <w:lang w:val="en-GB"/>
        </w:rPr>
        <w:t>For further information contact Bedfordshire Rural Communities Charity, The Old School, Cardington, Bedfordshire, MK44 3SX.</w:t>
      </w:r>
    </w:p>
    <w:p w:rsidR="009D2C89" w:rsidRDefault="009D2C89">
      <w:pPr>
        <w:rPr>
          <w:rFonts w:ascii="Verdana" w:hAnsi="Verdana" w:cs="Verdana"/>
          <w:sz w:val="18"/>
          <w:szCs w:val="18"/>
          <w:lang w:val="en-GB"/>
        </w:rPr>
      </w:pPr>
    </w:p>
    <w:p w:rsidR="009D2C89" w:rsidRDefault="009D2C89">
      <w:pPr>
        <w:rPr>
          <w:rFonts w:ascii="Verdana" w:hAnsi="Verdana" w:cs="Verdana"/>
          <w:b/>
          <w:bCs/>
          <w:lang w:val="en-GB"/>
        </w:rPr>
      </w:pPr>
      <w:r>
        <w:rPr>
          <w:rFonts w:ascii="Verdana" w:hAnsi="Verdana" w:cs="Verdana"/>
          <w:b/>
          <w:bCs/>
          <w:sz w:val="22"/>
          <w:szCs w:val="22"/>
          <w:lang w:val="en-GB"/>
        </w:rPr>
        <w:br w:type="page"/>
      </w:r>
      <w:r>
        <w:rPr>
          <w:rFonts w:ascii="Verdana" w:hAnsi="Verdana" w:cs="Verdana"/>
          <w:b/>
          <w:bCs/>
          <w:lang w:val="en-GB"/>
        </w:rPr>
        <w:lastRenderedPageBreak/>
        <w:t>1.</w:t>
      </w:r>
      <w:r>
        <w:rPr>
          <w:rFonts w:ascii="Verdana" w:hAnsi="Verdana" w:cs="Verdana"/>
          <w:b/>
          <w:bCs/>
          <w:lang w:val="en-GB"/>
        </w:rPr>
        <w:tab/>
        <w:t xml:space="preserve"> Introduction</w:t>
      </w:r>
    </w:p>
    <w:p w:rsidR="009D2C89" w:rsidRDefault="009D2C89">
      <w:pPr>
        <w:ind w:left="360"/>
        <w:rPr>
          <w:rFonts w:ascii="Verdana" w:hAnsi="Verdana" w:cs="Verdana"/>
          <w:b/>
          <w:bCs/>
          <w:sz w:val="22"/>
          <w:szCs w:val="22"/>
          <w:lang w:val="en-GB"/>
        </w:rPr>
      </w:pPr>
    </w:p>
    <w:p w:rsidR="00BB3E30" w:rsidRPr="009C0E8A" w:rsidRDefault="00BB3E30" w:rsidP="00BB3E30">
      <w:pPr>
        <w:rPr>
          <w:rFonts w:ascii="Verdana" w:hAnsi="Verdana" w:cs="Verdana"/>
          <w:b/>
          <w:sz w:val="22"/>
          <w:szCs w:val="22"/>
          <w:lang w:val="en-GB"/>
        </w:rPr>
      </w:pPr>
      <w:r w:rsidRPr="009C0E8A">
        <w:rPr>
          <w:rFonts w:ascii="Verdana" w:hAnsi="Verdana" w:cs="Verdana"/>
          <w:b/>
          <w:sz w:val="22"/>
          <w:szCs w:val="22"/>
          <w:lang w:val="en-GB"/>
        </w:rPr>
        <w:t>1.1</w:t>
      </w:r>
      <w:r w:rsidRPr="009C0E8A">
        <w:rPr>
          <w:rFonts w:ascii="Verdana" w:hAnsi="Verdana" w:cs="Verdana"/>
          <w:b/>
          <w:sz w:val="22"/>
          <w:szCs w:val="22"/>
          <w:lang w:val="en-GB"/>
        </w:rPr>
        <w:tab/>
        <w:t>About this survey</w:t>
      </w:r>
    </w:p>
    <w:p w:rsidR="00BB3E30" w:rsidRDefault="00BB3E30" w:rsidP="00BB3E30">
      <w:pPr>
        <w:rPr>
          <w:rFonts w:ascii="Verdana" w:hAnsi="Verdana" w:cs="Verdana"/>
          <w:sz w:val="22"/>
          <w:szCs w:val="22"/>
          <w:lang w:val="en-GB"/>
        </w:rPr>
      </w:pPr>
    </w:p>
    <w:p w:rsidR="00BB3E30" w:rsidRPr="001406A1" w:rsidRDefault="00BB3E30" w:rsidP="00BB3E30">
      <w:pPr>
        <w:rPr>
          <w:rFonts w:ascii="Verdana" w:hAnsi="Verdana" w:cs="Verdana"/>
          <w:lang w:val="en-GB"/>
        </w:rPr>
      </w:pPr>
      <w:r w:rsidRPr="001406A1">
        <w:rPr>
          <w:rFonts w:ascii="Verdana" w:hAnsi="Verdana" w:cs="Verdana"/>
          <w:lang w:val="en-GB"/>
        </w:rPr>
        <w:t xml:space="preserve">The parish of </w:t>
      </w:r>
      <w:r w:rsidR="00AA2D26" w:rsidRPr="001406A1">
        <w:rPr>
          <w:rFonts w:ascii="Verdana" w:hAnsi="Verdana" w:cs="Verdana"/>
          <w:lang w:val="en-GB"/>
        </w:rPr>
        <w:t>Oakley</w:t>
      </w:r>
      <w:r w:rsidRPr="001406A1">
        <w:rPr>
          <w:rFonts w:ascii="Verdana" w:hAnsi="Verdana" w:cs="Verdana"/>
          <w:lang w:val="en-GB"/>
        </w:rPr>
        <w:t xml:space="preserve"> is preparing a Neighbourhood Plan laying out its own local planning policies, which will come into force provided that the Plan passes an independent examination and is a</w:t>
      </w:r>
      <w:r w:rsidR="00D751FF" w:rsidRPr="001406A1">
        <w:rPr>
          <w:rFonts w:ascii="Verdana" w:hAnsi="Verdana" w:cs="Verdana"/>
          <w:lang w:val="en-GB"/>
        </w:rPr>
        <w:t xml:space="preserve">pproved at a local referendum.  </w:t>
      </w:r>
    </w:p>
    <w:p w:rsidR="00D751FF" w:rsidRPr="001406A1" w:rsidRDefault="00D751FF" w:rsidP="00BB3E30">
      <w:pPr>
        <w:rPr>
          <w:rFonts w:ascii="Verdana" w:hAnsi="Verdana" w:cs="Arial"/>
        </w:rPr>
      </w:pPr>
    </w:p>
    <w:p w:rsidR="0005616B" w:rsidRPr="001406A1" w:rsidRDefault="00EE78F4" w:rsidP="0005616B">
      <w:pPr>
        <w:rPr>
          <w:rFonts w:ascii="Verdana" w:hAnsi="Verdana" w:cs="Verdana"/>
          <w:lang w:val="en-GB"/>
        </w:rPr>
      </w:pPr>
      <w:r w:rsidRPr="001406A1">
        <w:rPr>
          <w:rFonts w:ascii="Verdana" w:hAnsi="Verdana" w:cs="Arial"/>
        </w:rPr>
        <w:t>To inform the preparation of the Plan,</w:t>
      </w:r>
      <w:r w:rsidRPr="001406A1">
        <w:rPr>
          <w:rFonts w:ascii="Verdana" w:hAnsi="Verdana" w:cs="Verdana"/>
          <w:lang w:val="en-GB"/>
        </w:rPr>
        <w:t xml:space="preserve"> t</w:t>
      </w:r>
      <w:r w:rsidR="000B0988" w:rsidRPr="001406A1">
        <w:rPr>
          <w:rFonts w:ascii="Verdana" w:hAnsi="Verdana" w:cs="Verdana"/>
          <w:lang w:val="en-GB"/>
        </w:rPr>
        <w:t xml:space="preserve">he </w:t>
      </w:r>
      <w:r w:rsidR="00AA2D26" w:rsidRPr="001406A1">
        <w:rPr>
          <w:rFonts w:ascii="Verdana" w:hAnsi="Verdana" w:cs="Verdana"/>
          <w:lang w:val="en-GB"/>
        </w:rPr>
        <w:t>Oakley</w:t>
      </w:r>
      <w:r w:rsidR="0005616B" w:rsidRPr="001406A1">
        <w:rPr>
          <w:rFonts w:ascii="Verdana" w:hAnsi="Verdana" w:cs="Verdana"/>
          <w:lang w:val="en-GB"/>
        </w:rPr>
        <w:t xml:space="preserve"> Neighbourhood Plan steering group requested for a Housing Needs Survey (HNS) to be carried out by BRCC</w:t>
      </w:r>
      <w:r w:rsidR="0005616B" w:rsidRPr="001406A1">
        <w:rPr>
          <w:rFonts w:ascii="Verdana" w:hAnsi="Verdana" w:cs="Arial"/>
        </w:rPr>
        <w:t>. The survey aimed to assess the need of local people for either affordable housin</w:t>
      </w:r>
      <w:r w:rsidR="000B0988" w:rsidRPr="001406A1">
        <w:rPr>
          <w:rFonts w:ascii="Verdana" w:hAnsi="Verdana" w:cs="Arial"/>
        </w:rPr>
        <w:t xml:space="preserve">g or market housing in </w:t>
      </w:r>
      <w:r w:rsidR="00AA2D26" w:rsidRPr="001406A1">
        <w:rPr>
          <w:rFonts w:ascii="Verdana" w:hAnsi="Verdana" w:cs="Arial"/>
        </w:rPr>
        <w:t>Oakley over the next 1</w:t>
      </w:r>
      <w:r w:rsidR="000B0988" w:rsidRPr="001406A1">
        <w:rPr>
          <w:rFonts w:ascii="Verdana" w:hAnsi="Verdana" w:cs="Arial"/>
        </w:rPr>
        <w:t>0 years</w:t>
      </w:r>
      <w:r w:rsidRPr="001406A1">
        <w:rPr>
          <w:rFonts w:ascii="Verdana" w:hAnsi="Verdana" w:cs="Verdana"/>
          <w:lang w:val="en-GB"/>
        </w:rPr>
        <w:t xml:space="preserve">. </w:t>
      </w:r>
    </w:p>
    <w:p w:rsidR="00A34C26" w:rsidRDefault="00A34C26" w:rsidP="0005616B">
      <w:pPr>
        <w:rPr>
          <w:rFonts w:ascii="Verdana" w:hAnsi="Verdana" w:cs="Verdana"/>
          <w:sz w:val="22"/>
          <w:szCs w:val="22"/>
          <w:lang w:val="en-GB"/>
        </w:rPr>
      </w:pPr>
    </w:p>
    <w:p w:rsidR="00A34C26" w:rsidRDefault="00A34C26" w:rsidP="00A34C26">
      <w:pPr>
        <w:rPr>
          <w:rFonts w:ascii="Verdana" w:hAnsi="Verdana" w:cs="Verdana"/>
          <w:b/>
          <w:bCs/>
          <w:sz w:val="22"/>
          <w:szCs w:val="22"/>
          <w:lang w:val="en-GB"/>
        </w:rPr>
      </w:pPr>
    </w:p>
    <w:p w:rsidR="0005616B" w:rsidRPr="00810EE8" w:rsidRDefault="0005616B" w:rsidP="0005616B">
      <w:pPr>
        <w:rPr>
          <w:rFonts w:ascii="Verdana" w:hAnsi="Verdana" w:cs="Verdana"/>
          <w:b/>
          <w:sz w:val="22"/>
          <w:szCs w:val="22"/>
          <w:lang w:val="en-GB"/>
        </w:rPr>
      </w:pPr>
      <w:r w:rsidRPr="00810EE8">
        <w:rPr>
          <w:rFonts w:ascii="Verdana" w:hAnsi="Verdana" w:cs="Arial"/>
          <w:b/>
          <w:sz w:val="22"/>
          <w:szCs w:val="22"/>
        </w:rPr>
        <w:t>1.</w:t>
      </w:r>
      <w:r>
        <w:rPr>
          <w:rFonts w:ascii="Verdana" w:hAnsi="Verdana" w:cs="Arial"/>
          <w:b/>
          <w:sz w:val="22"/>
          <w:szCs w:val="22"/>
        </w:rPr>
        <w:t>2</w:t>
      </w:r>
      <w:r>
        <w:rPr>
          <w:rFonts w:ascii="Verdana" w:hAnsi="Verdana" w:cs="Arial"/>
          <w:b/>
          <w:sz w:val="22"/>
          <w:szCs w:val="22"/>
        </w:rPr>
        <w:tab/>
        <w:t xml:space="preserve">Affordable housing </w:t>
      </w:r>
    </w:p>
    <w:p w:rsidR="0005616B" w:rsidRPr="00810EE8" w:rsidRDefault="0005616B" w:rsidP="0005616B">
      <w:pPr>
        <w:rPr>
          <w:rFonts w:ascii="Verdana" w:hAnsi="Verdana" w:cs="Verdana"/>
          <w:sz w:val="22"/>
          <w:szCs w:val="22"/>
          <w:lang w:val="en-GB"/>
        </w:rPr>
      </w:pPr>
    </w:p>
    <w:p w:rsidR="0005616B" w:rsidRPr="001406A1" w:rsidRDefault="0005616B" w:rsidP="0005616B">
      <w:pPr>
        <w:rPr>
          <w:rFonts w:ascii="Verdana" w:hAnsi="Verdana" w:cs="Verdana"/>
          <w:lang w:val="en-GB"/>
        </w:rPr>
      </w:pPr>
      <w:r w:rsidRPr="001406A1">
        <w:rPr>
          <w:rFonts w:ascii="Verdana" w:hAnsi="Verdana" w:cs="Verdana"/>
          <w:lang w:val="en-GB"/>
        </w:rPr>
        <w:t xml:space="preserve">Affordable housing can be affordable rented property (where rent is charged at up to 80% of market value), or it can be shared ownership in which people can own a share in the property and pay rent on the remainder.  It is usually provided by Registered Providers such as housing associations.  </w:t>
      </w:r>
    </w:p>
    <w:p w:rsidR="0005616B" w:rsidRPr="001406A1" w:rsidRDefault="0005616B" w:rsidP="0005616B">
      <w:pPr>
        <w:rPr>
          <w:rFonts w:ascii="Verdana" w:hAnsi="Verdana" w:cs="Verdana"/>
          <w:lang w:val="en-GB"/>
        </w:rPr>
      </w:pPr>
    </w:p>
    <w:p w:rsidR="0005616B" w:rsidRPr="001406A1" w:rsidRDefault="0005616B" w:rsidP="0005616B">
      <w:pPr>
        <w:rPr>
          <w:rFonts w:ascii="Verdana" w:hAnsi="Verdana" w:cs="Verdana"/>
          <w:lang w:val="en-GB"/>
        </w:rPr>
      </w:pPr>
      <w:r w:rsidRPr="001406A1">
        <w:rPr>
          <w:rFonts w:ascii="Verdana" w:hAnsi="Verdana" w:cs="Verdana"/>
          <w:lang w:val="en-GB"/>
        </w:rPr>
        <w:t>Affordable housing in rural areas is often progressed through Rural Exception Site developments – this is where the planning authority accepts that there is a need for affordable housing in the parish, and is prepared to grant an “exception” to planning policy, providing that the development is for affordable housing that will be available to local people in perpetuity.  A Neighbourhood Plan can contain a Rural Exception Site policy.</w:t>
      </w:r>
    </w:p>
    <w:p w:rsidR="0005616B" w:rsidRPr="001406A1" w:rsidRDefault="0005616B" w:rsidP="0005616B">
      <w:pPr>
        <w:rPr>
          <w:rFonts w:ascii="Verdana" w:hAnsi="Verdana" w:cs="Verdana"/>
          <w:lang w:val="en-GB"/>
        </w:rPr>
      </w:pPr>
    </w:p>
    <w:p w:rsidR="0005616B" w:rsidRPr="001406A1" w:rsidRDefault="0005616B" w:rsidP="0005616B">
      <w:pPr>
        <w:rPr>
          <w:rFonts w:ascii="Verdana" w:hAnsi="Verdana" w:cs="Verdana"/>
          <w:lang w:val="en-GB"/>
        </w:rPr>
      </w:pPr>
      <w:r w:rsidRPr="001406A1">
        <w:rPr>
          <w:rFonts w:ascii="Verdana" w:hAnsi="Verdana" w:cs="Verdana"/>
          <w:lang w:val="en-GB"/>
        </w:rPr>
        <w:t>Households seeking affordable rented accommodation through any new exception site development would have to apply through the Bedfordshire Choice Based Lettings scheme, through which they would have to demonstrate both a housing need and</w:t>
      </w:r>
      <w:r w:rsidR="00882AD1" w:rsidRPr="001406A1">
        <w:rPr>
          <w:rFonts w:ascii="Verdana" w:hAnsi="Verdana" w:cs="Verdana"/>
          <w:lang w:val="en-GB"/>
        </w:rPr>
        <w:t xml:space="preserve"> a local connection to Oakley</w:t>
      </w:r>
      <w:r w:rsidRPr="001406A1">
        <w:rPr>
          <w:rFonts w:ascii="Verdana" w:hAnsi="Verdana" w:cs="Verdana"/>
          <w:lang w:val="en-GB"/>
        </w:rPr>
        <w:t xml:space="preserve">. </w:t>
      </w:r>
    </w:p>
    <w:p w:rsidR="0005616B" w:rsidRDefault="0005616B" w:rsidP="0005616B">
      <w:pPr>
        <w:rPr>
          <w:rFonts w:ascii="Verdana" w:hAnsi="Verdana" w:cs="Verdana"/>
          <w:sz w:val="22"/>
          <w:szCs w:val="22"/>
          <w:lang w:val="en-GB"/>
        </w:rPr>
      </w:pPr>
    </w:p>
    <w:p w:rsidR="0005616B" w:rsidRDefault="0005616B" w:rsidP="0005616B">
      <w:pPr>
        <w:rPr>
          <w:rFonts w:ascii="Verdana" w:hAnsi="Verdana" w:cs="Verdana"/>
          <w:b/>
          <w:sz w:val="22"/>
          <w:szCs w:val="22"/>
          <w:lang w:val="en-GB"/>
        </w:rPr>
      </w:pPr>
      <w:r w:rsidRPr="00810EE8">
        <w:rPr>
          <w:rFonts w:ascii="Verdana" w:hAnsi="Verdana" w:cs="Verdana"/>
          <w:b/>
          <w:sz w:val="22"/>
          <w:szCs w:val="22"/>
          <w:lang w:val="en-GB"/>
        </w:rPr>
        <w:t>1.</w:t>
      </w:r>
      <w:r>
        <w:rPr>
          <w:rFonts w:ascii="Verdana" w:hAnsi="Verdana" w:cs="Verdana"/>
          <w:b/>
          <w:sz w:val="22"/>
          <w:szCs w:val="22"/>
          <w:lang w:val="en-GB"/>
        </w:rPr>
        <w:t>3</w:t>
      </w:r>
      <w:r w:rsidRPr="00810EE8">
        <w:rPr>
          <w:rFonts w:ascii="Verdana" w:hAnsi="Verdana" w:cs="Verdana"/>
          <w:b/>
          <w:sz w:val="22"/>
          <w:szCs w:val="22"/>
          <w:lang w:val="en-GB"/>
        </w:rPr>
        <w:tab/>
      </w:r>
      <w:r>
        <w:rPr>
          <w:rFonts w:ascii="Verdana" w:hAnsi="Verdana" w:cs="Verdana"/>
          <w:b/>
          <w:sz w:val="22"/>
          <w:szCs w:val="22"/>
          <w:lang w:val="en-GB"/>
        </w:rPr>
        <w:t>Market housing</w:t>
      </w:r>
      <w:r w:rsidRPr="00810EE8">
        <w:rPr>
          <w:rFonts w:ascii="Verdana" w:hAnsi="Verdana" w:cs="Verdana"/>
          <w:b/>
          <w:sz w:val="22"/>
          <w:szCs w:val="22"/>
          <w:lang w:val="en-GB"/>
        </w:rPr>
        <w:t xml:space="preserve"> </w:t>
      </w:r>
    </w:p>
    <w:p w:rsidR="0005616B" w:rsidRDefault="0005616B" w:rsidP="0005616B">
      <w:pPr>
        <w:rPr>
          <w:rFonts w:ascii="Verdana" w:hAnsi="Verdana" w:cs="Verdana"/>
          <w:b/>
          <w:sz w:val="22"/>
          <w:szCs w:val="22"/>
          <w:lang w:val="en-GB"/>
        </w:rPr>
      </w:pPr>
    </w:p>
    <w:p w:rsidR="0005616B" w:rsidRPr="001406A1" w:rsidRDefault="0005616B" w:rsidP="0005616B">
      <w:pPr>
        <w:rPr>
          <w:rFonts w:ascii="Verdana" w:hAnsi="Verdana" w:cs="Verdana"/>
          <w:lang w:val="en-GB"/>
        </w:rPr>
      </w:pPr>
      <w:r w:rsidRPr="001406A1">
        <w:rPr>
          <w:rFonts w:ascii="Verdana" w:hAnsi="Verdana" w:cs="Verdana"/>
          <w:lang w:val="en-GB"/>
        </w:rPr>
        <w:t xml:space="preserve">The market housing policies for the Neighbourhood Plan (e.g. proposed numbers, size and type) would need to be based on a broad evidence base. This would include local housing need identified through this survey, although the wider housing market would also need to be taken into consideration, as there would be no restrictions placed on the sale of this housing. </w:t>
      </w:r>
    </w:p>
    <w:p w:rsidR="0005616B" w:rsidRPr="001406A1" w:rsidRDefault="0005616B" w:rsidP="0005616B">
      <w:pPr>
        <w:rPr>
          <w:rFonts w:ascii="Verdana" w:hAnsi="Verdana" w:cs="Verdana"/>
          <w:lang w:val="en-GB"/>
        </w:rPr>
      </w:pPr>
    </w:p>
    <w:p w:rsidR="00D751FF" w:rsidRDefault="00D751FF">
      <w:pPr>
        <w:rPr>
          <w:rFonts w:ascii="Verdana" w:hAnsi="Verdana" w:cs="Verdana"/>
          <w:b/>
          <w:bCs/>
          <w:lang w:val="en-GB"/>
        </w:rPr>
      </w:pPr>
    </w:p>
    <w:p w:rsidR="002B6500" w:rsidRDefault="002B6500" w:rsidP="002B6500">
      <w:pPr>
        <w:rPr>
          <w:rFonts w:ascii="Verdana" w:hAnsi="Verdana" w:cs="Verdana"/>
          <w:b/>
          <w:bCs/>
          <w:lang w:val="en-GB"/>
        </w:rPr>
      </w:pPr>
    </w:p>
    <w:p w:rsidR="002B6500" w:rsidRDefault="002B6500" w:rsidP="002B6500">
      <w:pPr>
        <w:rPr>
          <w:rFonts w:ascii="Verdana" w:hAnsi="Verdana" w:cs="Verdana"/>
          <w:b/>
          <w:bCs/>
          <w:lang w:val="en-GB"/>
        </w:rPr>
      </w:pPr>
    </w:p>
    <w:p w:rsidR="002B6500" w:rsidRDefault="002B6500" w:rsidP="002B6500">
      <w:pPr>
        <w:rPr>
          <w:rFonts w:ascii="Verdana" w:hAnsi="Verdana" w:cs="Verdana"/>
          <w:b/>
          <w:bCs/>
          <w:lang w:val="en-GB"/>
        </w:rPr>
      </w:pPr>
    </w:p>
    <w:p w:rsidR="002B6500" w:rsidRDefault="002B6500" w:rsidP="002B6500">
      <w:pPr>
        <w:rPr>
          <w:rFonts w:ascii="Verdana" w:hAnsi="Verdana" w:cs="Verdana"/>
          <w:b/>
          <w:bCs/>
          <w:lang w:val="en-GB"/>
        </w:rPr>
      </w:pPr>
    </w:p>
    <w:p w:rsidR="002B6500" w:rsidRDefault="002B6500" w:rsidP="002B6500">
      <w:pPr>
        <w:rPr>
          <w:rFonts w:ascii="Verdana" w:hAnsi="Verdana" w:cs="Verdana"/>
          <w:b/>
          <w:bCs/>
          <w:lang w:val="en-GB"/>
        </w:rPr>
      </w:pPr>
    </w:p>
    <w:p w:rsidR="002B6500" w:rsidRDefault="002B6500" w:rsidP="002B6500">
      <w:pPr>
        <w:rPr>
          <w:rFonts w:ascii="Verdana" w:hAnsi="Verdana" w:cs="Verdana"/>
          <w:b/>
          <w:bCs/>
          <w:lang w:val="en-GB"/>
        </w:rPr>
      </w:pPr>
    </w:p>
    <w:p w:rsidR="002B6500" w:rsidRPr="00B072A4" w:rsidRDefault="002B6500" w:rsidP="002B6500">
      <w:pPr>
        <w:rPr>
          <w:rFonts w:ascii="Verdana" w:hAnsi="Verdana" w:cs="Verdana"/>
          <w:b/>
          <w:bCs/>
          <w:lang w:val="en-GB"/>
        </w:rPr>
      </w:pPr>
      <w:r w:rsidRPr="00B072A4">
        <w:rPr>
          <w:rFonts w:ascii="Verdana" w:hAnsi="Verdana" w:cs="Verdana"/>
          <w:b/>
          <w:bCs/>
          <w:lang w:val="en-GB"/>
        </w:rPr>
        <w:lastRenderedPageBreak/>
        <w:t>2.</w:t>
      </w:r>
      <w:r w:rsidRPr="00B072A4">
        <w:rPr>
          <w:rFonts w:ascii="Verdana" w:hAnsi="Verdana" w:cs="Verdana"/>
          <w:b/>
          <w:bCs/>
          <w:lang w:val="en-GB"/>
        </w:rPr>
        <w:tab/>
        <w:t xml:space="preserve">About </w:t>
      </w:r>
      <w:r w:rsidR="00882AD1">
        <w:rPr>
          <w:rFonts w:ascii="Verdana" w:hAnsi="Verdana" w:cs="Verdana"/>
          <w:b/>
          <w:bCs/>
          <w:lang w:val="en-GB"/>
        </w:rPr>
        <w:t>Oakley</w:t>
      </w:r>
    </w:p>
    <w:p w:rsidR="002B6500" w:rsidRPr="00B072A4" w:rsidRDefault="002B6500" w:rsidP="002B6500">
      <w:pPr>
        <w:ind w:left="360"/>
        <w:rPr>
          <w:rFonts w:ascii="Verdana" w:hAnsi="Verdana" w:cs="Verdana"/>
          <w:b/>
          <w:bCs/>
          <w:sz w:val="22"/>
          <w:szCs w:val="22"/>
          <w:lang w:val="en-GB"/>
        </w:rPr>
      </w:pPr>
    </w:p>
    <w:p w:rsidR="002B6500" w:rsidRPr="00B072A4" w:rsidRDefault="002B6500" w:rsidP="002B6500">
      <w:pPr>
        <w:rPr>
          <w:rFonts w:ascii="Verdana" w:hAnsi="Verdana" w:cs="Verdana"/>
          <w:b/>
          <w:bCs/>
          <w:sz w:val="22"/>
          <w:szCs w:val="22"/>
          <w:lang w:val="en-GB"/>
        </w:rPr>
      </w:pPr>
      <w:r w:rsidRPr="00B072A4">
        <w:rPr>
          <w:rFonts w:ascii="Verdana" w:hAnsi="Verdana" w:cs="Verdana"/>
          <w:b/>
          <w:bCs/>
          <w:sz w:val="22"/>
          <w:szCs w:val="22"/>
          <w:lang w:val="en-GB"/>
        </w:rPr>
        <w:t>2.1</w:t>
      </w:r>
      <w:r w:rsidRPr="00B072A4">
        <w:rPr>
          <w:rFonts w:ascii="Verdana" w:hAnsi="Verdana" w:cs="Verdana"/>
          <w:b/>
          <w:bCs/>
          <w:sz w:val="22"/>
          <w:szCs w:val="22"/>
          <w:lang w:val="en-GB"/>
        </w:rPr>
        <w:tab/>
        <w:t>Population and demographics</w:t>
      </w:r>
    </w:p>
    <w:p w:rsidR="002B6500" w:rsidRPr="00B072A4" w:rsidRDefault="002B6500" w:rsidP="002B6500">
      <w:pPr>
        <w:rPr>
          <w:rFonts w:ascii="Verdana" w:hAnsi="Verdana" w:cs="Verdana"/>
          <w:sz w:val="22"/>
          <w:szCs w:val="22"/>
          <w:lang w:val="en-GB"/>
        </w:rPr>
      </w:pPr>
    </w:p>
    <w:p w:rsidR="00407772" w:rsidRPr="001406A1" w:rsidRDefault="002B6500" w:rsidP="002B6500">
      <w:pPr>
        <w:rPr>
          <w:rFonts w:ascii="Verdana" w:hAnsi="Verdana" w:cs="Verdana"/>
          <w:lang w:val="en-GB"/>
        </w:rPr>
      </w:pPr>
      <w:r w:rsidRPr="001406A1">
        <w:rPr>
          <w:rFonts w:ascii="Verdana" w:hAnsi="Verdana" w:cs="Verdana"/>
          <w:lang w:val="en-GB"/>
        </w:rPr>
        <w:t xml:space="preserve">In 2011 in the parish of </w:t>
      </w:r>
      <w:r w:rsidR="00791C36" w:rsidRPr="001406A1">
        <w:rPr>
          <w:rFonts w:ascii="Verdana" w:hAnsi="Verdana" w:cs="Verdana"/>
          <w:lang w:val="en-GB"/>
        </w:rPr>
        <w:t>Oakley</w:t>
      </w:r>
      <w:r w:rsidR="008F7D4C" w:rsidRPr="001406A1">
        <w:rPr>
          <w:rFonts w:ascii="Verdana" w:hAnsi="Verdana" w:cs="Verdana"/>
          <w:lang w:val="en-GB"/>
        </w:rPr>
        <w:t xml:space="preserve"> there were </w:t>
      </w:r>
      <w:r w:rsidR="0057104D" w:rsidRPr="001406A1">
        <w:rPr>
          <w:rFonts w:ascii="Verdana" w:hAnsi="Verdana" w:cs="Verdana"/>
          <w:lang w:val="en-GB"/>
        </w:rPr>
        <w:t>948</w:t>
      </w:r>
      <w:r w:rsidRPr="001406A1">
        <w:rPr>
          <w:rFonts w:ascii="Verdana" w:hAnsi="Verdana" w:cs="Verdana"/>
          <w:lang w:val="en-GB"/>
        </w:rPr>
        <w:t xml:space="preserve"> households containing </w:t>
      </w:r>
      <w:r w:rsidR="0057104D" w:rsidRPr="001406A1">
        <w:rPr>
          <w:rFonts w:ascii="Verdana" w:hAnsi="Verdana" w:cs="Verdana"/>
          <w:lang w:val="en-GB"/>
        </w:rPr>
        <w:t>2,493</w:t>
      </w:r>
      <w:r w:rsidRPr="001406A1">
        <w:rPr>
          <w:rFonts w:ascii="Verdana" w:hAnsi="Verdana" w:cs="Verdana"/>
          <w:lang w:val="en-GB"/>
        </w:rPr>
        <w:t xml:space="preserve"> residents</w:t>
      </w:r>
      <w:r w:rsidRPr="001406A1">
        <w:rPr>
          <w:kern w:val="0"/>
          <w:vertAlign w:val="superscript"/>
          <w:lang w:val="en-GB"/>
        </w:rPr>
        <w:footnoteReference w:id="1"/>
      </w:r>
      <w:r w:rsidRPr="001406A1">
        <w:rPr>
          <w:rFonts w:ascii="Verdana" w:hAnsi="Verdana" w:cs="Verdana"/>
          <w:lang w:val="en-GB"/>
        </w:rPr>
        <w:t xml:space="preserve">.  </w:t>
      </w:r>
      <w:r w:rsidR="00407772" w:rsidRPr="001406A1">
        <w:rPr>
          <w:rFonts w:ascii="Verdana" w:hAnsi="Verdana" w:cs="Verdana"/>
          <w:lang w:val="en-GB"/>
        </w:rPr>
        <w:t xml:space="preserve">Compared to </w:t>
      </w:r>
      <w:r w:rsidRPr="001406A1">
        <w:rPr>
          <w:rFonts w:ascii="Verdana" w:hAnsi="Verdana" w:cs="Verdana"/>
          <w:lang w:val="en-GB"/>
        </w:rPr>
        <w:t>2001</w:t>
      </w:r>
      <w:r w:rsidR="00407772" w:rsidRPr="001406A1">
        <w:rPr>
          <w:rFonts w:ascii="Verdana" w:hAnsi="Verdana" w:cs="Verdana"/>
          <w:lang w:val="en-GB"/>
        </w:rPr>
        <w:t>, this represents an increase of around 5% in terms of households (from</w:t>
      </w:r>
      <w:r w:rsidRPr="001406A1">
        <w:rPr>
          <w:rFonts w:ascii="Verdana" w:hAnsi="Verdana" w:cs="Verdana"/>
          <w:lang w:val="en-GB"/>
        </w:rPr>
        <w:t xml:space="preserve"> </w:t>
      </w:r>
      <w:r w:rsidR="00791C36" w:rsidRPr="001406A1">
        <w:rPr>
          <w:rFonts w:ascii="Verdana" w:hAnsi="Verdana" w:cs="Verdana"/>
          <w:lang w:val="en-GB"/>
        </w:rPr>
        <w:t>905</w:t>
      </w:r>
      <w:r w:rsidR="00407772" w:rsidRPr="001406A1">
        <w:rPr>
          <w:rFonts w:ascii="Verdana" w:hAnsi="Verdana" w:cs="Verdana"/>
          <w:lang w:val="en-GB"/>
        </w:rPr>
        <w:t>)</w:t>
      </w:r>
      <w:r w:rsidR="00791C36" w:rsidRPr="001406A1">
        <w:rPr>
          <w:rFonts w:ascii="Verdana" w:hAnsi="Verdana" w:cs="Verdana"/>
          <w:lang w:val="en-GB"/>
        </w:rPr>
        <w:t xml:space="preserve"> </w:t>
      </w:r>
      <w:r w:rsidR="00407772" w:rsidRPr="001406A1">
        <w:rPr>
          <w:rFonts w:ascii="Verdana" w:hAnsi="Verdana" w:cs="Verdana"/>
          <w:lang w:val="en-GB"/>
        </w:rPr>
        <w:t>and an increase of 2% in terms of residents (from</w:t>
      </w:r>
      <w:r w:rsidR="00791C36" w:rsidRPr="001406A1">
        <w:rPr>
          <w:rFonts w:ascii="Verdana" w:hAnsi="Verdana" w:cs="Verdana"/>
          <w:lang w:val="en-GB"/>
        </w:rPr>
        <w:t xml:space="preserve"> </w:t>
      </w:r>
      <w:r w:rsidR="00407772" w:rsidRPr="001406A1">
        <w:rPr>
          <w:rFonts w:ascii="Verdana" w:hAnsi="Verdana" w:cs="Verdana"/>
          <w:lang w:val="en-GB"/>
        </w:rPr>
        <w:t>2</w:t>
      </w:r>
      <w:r w:rsidR="0000589E" w:rsidRPr="001406A1">
        <w:rPr>
          <w:rFonts w:ascii="Verdana" w:hAnsi="Verdana" w:cs="Verdana"/>
          <w:lang w:val="en-GB"/>
        </w:rPr>
        <w:t>,</w:t>
      </w:r>
      <w:r w:rsidR="00791C36" w:rsidRPr="001406A1">
        <w:rPr>
          <w:rFonts w:ascii="Verdana" w:hAnsi="Verdana" w:cs="Verdana"/>
          <w:lang w:val="en-GB"/>
        </w:rPr>
        <w:t>438</w:t>
      </w:r>
      <w:r w:rsidR="00407772" w:rsidRPr="001406A1">
        <w:rPr>
          <w:rFonts w:ascii="Verdana" w:hAnsi="Verdana" w:cs="Verdana"/>
          <w:lang w:val="en-GB"/>
        </w:rPr>
        <w:t>)</w:t>
      </w:r>
      <w:r w:rsidRPr="001406A1">
        <w:rPr>
          <w:rFonts w:ascii="Verdana" w:hAnsi="Verdana" w:cs="Verdana"/>
          <w:lang w:val="en-GB"/>
        </w:rPr>
        <w:t xml:space="preserve">. </w:t>
      </w:r>
    </w:p>
    <w:p w:rsidR="00407772" w:rsidRPr="001406A1" w:rsidRDefault="00407772" w:rsidP="002B6500">
      <w:pPr>
        <w:rPr>
          <w:rFonts w:ascii="Verdana" w:hAnsi="Verdana" w:cs="Verdana"/>
          <w:lang w:val="en-GB"/>
        </w:rPr>
      </w:pPr>
    </w:p>
    <w:p w:rsidR="002B6500" w:rsidRPr="001406A1" w:rsidRDefault="002B6500" w:rsidP="002B6500">
      <w:pPr>
        <w:rPr>
          <w:rFonts w:ascii="Verdana" w:hAnsi="Verdana" w:cs="Verdana"/>
          <w:lang w:val="en-GB"/>
        </w:rPr>
      </w:pPr>
      <w:r w:rsidRPr="001406A1">
        <w:rPr>
          <w:rFonts w:ascii="Verdana" w:hAnsi="Verdana" w:cs="Verdana"/>
          <w:lang w:val="en-GB"/>
        </w:rPr>
        <w:t>The age profile</w:t>
      </w:r>
      <w:r w:rsidR="00407772" w:rsidRPr="001406A1">
        <w:rPr>
          <w:rFonts w:ascii="Verdana" w:hAnsi="Verdana" w:cs="Verdana"/>
          <w:lang w:val="en-GB"/>
        </w:rPr>
        <w:t xml:space="preserve"> in 2011 </w:t>
      </w:r>
      <w:r w:rsidRPr="001406A1">
        <w:rPr>
          <w:rFonts w:ascii="Verdana" w:hAnsi="Verdana" w:cs="Verdana"/>
          <w:lang w:val="en-GB"/>
        </w:rPr>
        <w:t>(compared to</w:t>
      </w:r>
      <w:r w:rsidR="00407772" w:rsidRPr="001406A1">
        <w:rPr>
          <w:rFonts w:ascii="Verdana" w:hAnsi="Verdana" w:cs="Verdana"/>
          <w:lang w:val="en-GB"/>
        </w:rPr>
        <w:t xml:space="preserve"> 2001,</w:t>
      </w:r>
      <w:r w:rsidR="00F17610" w:rsidRPr="001406A1">
        <w:rPr>
          <w:rFonts w:ascii="Verdana" w:hAnsi="Verdana" w:cs="Verdana"/>
          <w:lang w:val="en-GB"/>
        </w:rPr>
        <w:t xml:space="preserve"> </w:t>
      </w:r>
      <w:r w:rsidR="00407772" w:rsidRPr="001406A1">
        <w:rPr>
          <w:rFonts w:ascii="Verdana" w:hAnsi="Verdana" w:cs="Verdana"/>
          <w:lang w:val="en-GB"/>
        </w:rPr>
        <w:t>and then to</w:t>
      </w:r>
      <w:r w:rsidRPr="001406A1">
        <w:rPr>
          <w:rFonts w:ascii="Verdana" w:hAnsi="Verdana" w:cs="Verdana"/>
          <w:lang w:val="en-GB"/>
        </w:rPr>
        <w:t xml:space="preserve"> Bedford Borough</w:t>
      </w:r>
      <w:r w:rsidR="00407772" w:rsidRPr="001406A1">
        <w:rPr>
          <w:rFonts w:ascii="Verdana" w:hAnsi="Verdana" w:cs="Verdana"/>
          <w:lang w:val="en-GB"/>
        </w:rPr>
        <w:t xml:space="preserve"> as a whole in 2011</w:t>
      </w:r>
      <w:r w:rsidRPr="001406A1">
        <w:rPr>
          <w:rFonts w:ascii="Verdana" w:hAnsi="Verdana" w:cs="Verdana"/>
          <w:lang w:val="en-GB"/>
        </w:rPr>
        <w:t xml:space="preserve">) is shown below.  </w:t>
      </w:r>
    </w:p>
    <w:p w:rsidR="002B6500" w:rsidRPr="00B072A4" w:rsidRDefault="002B6500" w:rsidP="002B6500">
      <w:pPr>
        <w:rPr>
          <w:rFonts w:ascii="Verdana" w:hAnsi="Verdana" w:cs="Verdana"/>
          <w:color w:val="FF0000"/>
          <w:sz w:val="22"/>
          <w:szCs w:val="22"/>
          <w:lang w:val="en-GB"/>
        </w:rPr>
      </w:pPr>
      <w:r w:rsidRPr="00B072A4">
        <w:rPr>
          <w:rFonts w:ascii="Verdana" w:hAnsi="Verdana" w:cs="Verdana"/>
          <w:sz w:val="22"/>
          <w:szCs w:val="22"/>
          <w:lang w:val="en-GB"/>
        </w:rPr>
        <w:t xml:space="preserve"> </w:t>
      </w:r>
    </w:p>
    <w:tbl>
      <w:tblPr>
        <w:tblW w:w="0" w:type="auto"/>
        <w:tblLayout w:type="fixed"/>
        <w:tblCellMar>
          <w:left w:w="180" w:type="dxa"/>
          <w:right w:w="180" w:type="dxa"/>
        </w:tblCellMar>
        <w:tblLook w:val="0000" w:firstRow="0" w:lastRow="0" w:firstColumn="0" w:lastColumn="0" w:noHBand="0" w:noVBand="0"/>
      </w:tblPr>
      <w:tblGrid>
        <w:gridCol w:w="2454"/>
        <w:gridCol w:w="2455"/>
        <w:gridCol w:w="2455"/>
        <w:gridCol w:w="2455"/>
      </w:tblGrid>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Age</w:t>
            </w:r>
          </w:p>
        </w:tc>
        <w:tc>
          <w:tcPr>
            <w:tcW w:w="2455" w:type="dxa"/>
            <w:tcBorders>
              <w:top w:val="single" w:sz="8" w:space="0" w:color="auto"/>
              <w:left w:val="single" w:sz="8" w:space="0" w:color="auto"/>
              <w:bottom w:val="single" w:sz="8" w:space="0" w:color="auto"/>
              <w:right w:val="nil"/>
            </w:tcBorders>
          </w:tcPr>
          <w:p w:rsidR="002B6500" w:rsidRPr="00B072A4" w:rsidRDefault="00882AD1" w:rsidP="0000589E">
            <w:pPr>
              <w:rPr>
                <w:rFonts w:ascii="Verdana" w:hAnsi="Verdana" w:cs="Verdana"/>
                <w:lang w:val="en-GB"/>
              </w:rPr>
            </w:pPr>
            <w:r>
              <w:rPr>
                <w:rFonts w:ascii="Verdana" w:hAnsi="Verdana" w:cs="Verdana"/>
                <w:b/>
                <w:bCs/>
                <w:sz w:val="22"/>
                <w:szCs w:val="22"/>
                <w:lang w:val="en-GB"/>
              </w:rPr>
              <w:t>% Oakley</w:t>
            </w:r>
            <w:r w:rsidR="002B6500" w:rsidRPr="00B072A4">
              <w:rPr>
                <w:rFonts w:ascii="Verdana" w:hAnsi="Verdana" w:cs="Verdana"/>
                <w:b/>
                <w:bCs/>
                <w:sz w:val="22"/>
                <w:szCs w:val="22"/>
                <w:lang w:val="en-GB"/>
              </w:rPr>
              <w:t xml:space="preserve"> 2011</w:t>
            </w:r>
          </w:p>
        </w:tc>
        <w:tc>
          <w:tcPr>
            <w:tcW w:w="2455" w:type="dxa"/>
            <w:tcBorders>
              <w:top w:val="single" w:sz="8" w:space="0" w:color="auto"/>
              <w:left w:val="single" w:sz="8" w:space="0" w:color="auto"/>
              <w:bottom w:val="single" w:sz="8" w:space="0" w:color="auto"/>
              <w:right w:val="single" w:sz="8" w:space="0" w:color="auto"/>
            </w:tcBorders>
          </w:tcPr>
          <w:p w:rsidR="002B6500" w:rsidRPr="00B072A4" w:rsidRDefault="00882AD1" w:rsidP="002B6500">
            <w:pPr>
              <w:rPr>
                <w:rFonts w:ascii="Verdana" w:hAnsi="Verdana" w:cs="Verdana"/>
                <w:lang w:val="en-GB"/>
              </w:rPr>
            </w:pPr>
            <w:r>
              <w:rPr>
                <w:rFonts w:ascii="Verdana" w:hAnsi="Verdana" w:cs="Verdana"/>
                <w:b/>
                <w:bCs/>
                <w:sz w:val="22"/>
                <w:szCs w:val="22"/>
                <w:lang w:val="en-GB"/>
              </w:rPr>
              <w:t>% Oakley</w:t>
            </w:r>
            <w:r w:rsidR="002B6500" w:rsidRPr="00B072A4">
              <w:rPr>
                <w:rFonts w:ascii="Verdana" w:hAnsi="Verdana" w:cs="Verdana"/>
                <w:b/>
                <w:bCs/>
                <w:sz w:val="22"/>
                <w:szCs w:val="22"/>
                <w:lang w:val="en-GB"/>
              </w:rPr>
              <w:t xml:space="preserve"> 2001</w:t>
            </w:r>
          </w:p>
        </w:tc>
        <w:tc>
          <w:tcPr>
            <w:tcW w:w="2455" w:type="dxa"/>
            <w:tcBorders>
              <w:top w:val="single" w:sz="8" w:space="0" w:color="auto"/>
              <w:left w:val="single" w:sz="8" w:space="0" w:color="auto"/>
              <w:bottom w:val="single" w:sz="8" w:space="0" w:color="auto"/>
              <w:right w:val="single" w:sz="8" w:space="0" w:color="auto"/>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 Bedford Borough 2011</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2B6500" w:rsidP="002B6500">
            <w:pPr>
              <w:rPr>
                <w:rFonts w:ascii="Verdana" w:hAnsi="Verdana" w:cs="Verdana"/>
                <w:lang w:val="en-GB"/>
              </w:rPr>
            </w:pPr>
            <w:r>
              <w:rPr>
                <w:rFonts w:ascii="Verdana" w:hAnsi="Verdana" w:cs="Verdana"/>
                <w:sz w:val="22"/>
                <w:szCs w:val="22"/>
                <w:lang w:val="en-GB"/>
              </w:rPr>
              <w:t xml:space="preserve">0 – </w:t>
            </w:r>
            <w:r w:rsidR="00D426F7">
              <w:rPr>
                <w:rFonts w:ascii="Verdana" w:hAnsi="Verdana" w:cs="Verdana"/>
                <w:sz w:val="22"/>
                <w:szCs w:val="22"/>
                <w:lang w:val="en-GB"/>
              </w:rPr>
              <w:t>1</w:t>
            </w:r>
            <w:r>
              <w:rPr>
                <w:rFonts w:ascii="Verdana" w:hAnsi="Verdana" w:cs="Verdana"/>
                <w:sz w:val="22"/>
                <w:szCs w:val="22"/>
                <w:lang w:val="en-GB"/>
              </w:rPr>
              <w:t>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22.6</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23.2</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18.6</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2B6500" w:rsidP="002B6500">
            <w:pPr>
              <w:rPr>
                <w:rFonts w:ascii="Verdana" w:hAnsi="Verdana" w:cs="Verdana"/>
                <w:sz w:val="22"/>
                <w:szCs w:val="22"/>
                <w:lang w:val="en-GB"/>
              </w:rPr>
            </w:pPr>
            <w:r>
              <w:rPr>
                <w:rFonts w:ascii="Verdana" w:hAnsi="Verdana" w:cs="Verdana"/>
                <w:sz w:val="22"/>
                <w:szCs w:val="22"/>
                <w:lang w:val="en-GB"/>
              </w:rPr>
              <w:t>15</w:t>
            </w:r>
            <w:r w:rsidR="00D426F7">
              <w:rPr>
                <w:rFonts w:ascii="Verdana" w:hAnsi="Verdana" w:cs="Verdana"/>
                <w:sz w:val="22"/>
                <w:szCs w:val="22"/>
                <w:lang w:val="en-GB"/>
              </w:rPr>
              <w:t xml:space="preserve"> - 24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8.7</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9.1</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12.7</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D426F7" w:rsidP="002B6500">
            <w:pPr>
              <w:rPr>
                <w:rFonts w:ascii="Verdana" w:hAnsi="Verdana" w:cs="Verdana"/>
                <w:sz w:val="22"/>
                <w:szCs w:val="22"/>
                <w:lang w:val="en-GB"/>
              </w:rPr>
            </w:pPr>
            <w:r>
              <w:rPr>
                <w:rFonts w:ascii="Verdana" w:hAnsi="Verdana" w:cs="Verdana"/>
                <w:sz w:val="22"/>
                <w:szCs w:val="22"/>
                <w:lang w:val="en-GB"/>
              </w:rPr>
              <w:t>25 - 44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22.8</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26.0</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27.3</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D426F7" w:rsidP="002B6500">
            <w:pPr>
              <w:rPr>
                <w:rFonts w:ascii="Verdana" w:hAnsi="Verdana" w:cs="Verdana"/>
                <w:lang w:val="en-GB"/>
              </w:rPr>
            </w:pPr>
            <w:r>
              <w:rPr>
                <w:rFonts w:ascii="Verdana" w:hAnsi="Verdana" w:cs="Verdana"/>
                <w:sz w:val="22"/>
                <w:szCs w:val="22"/>
                <w:lang w:val="en-GB"/>
              </w:rPr>
              <w:t>45 - 64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30.3</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30.6</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25.5</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D426F7" w:rsidP="002B6500">
            <w:pPr>
              <w:rPr>
                <w:rFonts w:ascii="Verdana" w:hAnsi="Verdana" w:cs="Verdana"/>
                <w:lang w:val="en-GB"/>
              </w:rPr>
            </w:pPr>
            <w:r>
              <w:rPr>
                <w:rFonts w:ascii="Verdana" w:hAnsi="Verdana" w:cs="Verdana"/>
                <w:sz w:val="22"/>
                <w:szCs w:val="22"/>
                <w:lang w:val="en-GB"/>
              </w:rPr>
              <w:t>65 - 74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9.5</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5.7</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8.1</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D426F7" w:rsidP="002B6500">
            <w:pPr>
              <w:rPr>
                <w:rFonts w:ascii="Verdana" w:hAnsi="Verdana" w:cs="Verdana"/>
                <w:lang w:val="en-GB"/>
              </w:rPr>
            </w:pPr>
            <w:r>
              <w:rPr>
                <w:rFonts w:ascii="Verdana" w:hAnsi="Verdana" w:cs="Verdana"/>
                <w:sz w:val="22"/>
                <w:szCs w:val="22"/>
                <w:lang w:val="en-GB"/>
              </w:rPr>
              <w:t>75 - 84</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4.5</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4.3</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5.5</w:t>
            </w:r>
          </w:p>
        </w:tc>
      </w:tr>
      <w:tr w:rsidR="002B6500" w:rsidRPr="00B072A4" w:rsidTr="002B6500">
        <w:tc>
          <w:tcPr>
            <w:tcW w:w="2454" w:type="dxa"/>
            <w:tcBorders>
              <w:top w:val="single" w:sz="8" w:space="0" w:color="auto"/>
              <w:left w:val="single" w:sz="8" w:space="0" w:color="auto"/>
              <w:bottom w:val="single" w:sz="8" w:space="0" w:color="auto"/>
              <w:right w:val="nil"/>
            </w:tcBorders>
          </w:tcPr>
          <w:p w:rsidR="002B6500" w:rsidRPr="00B072A4" w:rsidRDefault="002B6500" w:rsidP="002B6500">
            <w:pPr>
              <w:rPr>
                <w:rFonts w:ascii="Verdana" w:hAnsi="Verdana" w:cs="Verdana"/>
                <w:sz w:val="22"/>
                <w:szCs w:val="22"/>
                <w:lang w:val="en-GB"/>
              </w:rPr>
            </w:pPr>
            <w:r>
              <w:rPr>
                <w:rFonts w:ascii="Verdana" w:hAnsi="Verdana" w:cs="Verdana"/>
                <w:sz w:val="22"/>
                <w:szCs w:val="22"/>
                <w:lang w:val="en-GB"/>
              </w:rPr>
              <w:t>85+</w:t>
            </w:r>
          </w:p>
        </w:tc>
        <w:tc>
          <w:tcPr>
            <w:tcW w:w="2455" w:type="dxa"/>
            <w:tcBorders>
              <w:top w:val="single" w:sz="8" w:space="0" w:color="auto"/>
              <w:left w:val="single" w:sz="8" w:space="0" w:color="auto"/>
              <w:bottom w:val="single" w:sz="8" w:space="0" w:color="auto"/>
              <w:right w:val="nil"/>
            </w:tcBorders>
            <w:vAlign w:val="bottom"/>
          </w:tcPr>
          <w:p w:rsidR="002B6500" w:rsidRPr="00B072A4" w:rsidRDefault="00C85677" w:rsidP="002B6500">
            <w:pPr>
              <w:jc w:val="right"/>
              <w:rPr>
                <w:rFonts w:ascii="Verdana" w:hAnsi="Verdana" w:cs="Arial"/>
                <w:sz w:val="22"/>
                <w:szCs w:val="22"/>
                <w:lang w:val="en-GB"/>
              </w:rPr>
            </w:pPr>
            <w:r>
              <w:rPr>
                <w:rFonts w:ascii="Verdana" w:hAnsi="Verdana" w:cs="Arial"/>
                <w:sz w:val="22"/>
                <w:szCs w:val="22"/>
                <w:lang w:val="en-GB"/>
              </w:rPr>
              <w:t>1.6</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A5005D" w:rsidP="002B6500">
            <w:pPr>
              <w:jc w:val="right"/>
              <w:rPr>
                <w:rFonts w:ascii="Verdana" w:hAnsi="Verdana" w:cs="Arial"/>
                <w:sz w:val="22"/>
                <w:szCs w:val="22"/>
                <w:lang w:val="en-GB"/>
              </w:rPr>
            </w:pPr>
            <w:r>
              <w:rPr>
                <w:rFonts w:ascii="Verdana" w:hAnsi="Verdana" w:cs="Arial"/>
                <w:sz w:val="22"/>
                <w:szCs w:val="22"/>
                <w:lang w:val="en-GB"/>
              </w:rPr>
              <w:t>1.1</w:t>
            </w:r>
          </w:p>
        </w:tc>
        <w:tc>
          <w:tcPr>
            <w:tcW w:w="2455" w:type="dxa"/>
            <w:tcBorders>
              <w:top w:val="single" w:sz="8" w:space="0" w:color="auto"/>
              <w:left w:val="single" w:sz="8" w:space="0" w:color="auto"/>
              <w:bottom w:val="single" w:sz="8" w:space="0" w:color="auto"/>
              <w:right w:val="single" w:sz="8" w:space="0" w:color="auto"/>
            </w:tcBorders>
            <w:vAlign w:val="bottom"/>
          </w:tcPr>
          <w:p w:rsidR="002B6500" w:rsidRPr="00B072A4" w:rsidRDefault="008E0C96" w:rsidP="002B6500">
            <w:pPr>
              <w:jc w:val="right"/>
              <w:rPr>
                <w:rFonts w:ascii="Verdana" w:hAnsi="Verdana" w:cs="Arial"/>
                <w:sz w:val="22"/>
                <w:szCs w:val="22"/>
                <w:lang w:val="en-GB"/>
              </w:rPr>
            </w:pPr>
            <w:r>
              <w:rPr>
                <w:rFonts w:ascii="Verdana" w:hAnsi="Verdana" w:cs="Arial"/>
                <w:sz w:val="22"/>
                <w:szCs w:val="22"/>
                <w:lang w:val="en-GB"/>
              </w:rPr>
              <w:t>2.2</w:t>
            </w:r>
          </w:p>
        </w:tc>
      </w:tr>
    </w:tbl>
    <w:p w:rsidR="002B6500" w:rsidRPr="00B072A4" w:rsidRDefault="002B6500" w:rsidP="002B6500">
      <w:pPr>
        <w:rPr>
          <w:rFonts w:ascii="Verdana" w:hAnsi="Verdana" w:cs="Verdana"/>
          <w:b/>
          <w:bCs/>
          <w:sz w:val="22"/>
          <w:szCs w:val="22"/>
          <w:lang w:val="en-GB"/>
        </w:rPr>
      </w:pPr>
    </w:p>
    <w:p w:rsidR="002B6500" w:rsidRPr="001406A1" w:rsidRDefault="00407772" w:rsidP="002B6500">
      <w:pPr>
        <w:rPr>
          <w:rFonts w:ascii="Verdana" w:hAnsi="Verdana" w:cs="Verdana"/>
          <w:bCs/>
          <w:lang w:val="en-GB"/>
        </w:rPr>
      </w:pPr>
      <w:r w:rsidRPr="001406A1">
        <w:rPr>
          <w:rFonts w:ascii="Verdana" w:hAnsi="Verdana" w:cs="Verdana"/>
          <w:bCs/>
          <w:lang w:val="en-GB"/>
        </w:rPr>
        <w:t xml:space="preserve">There has been a clear aging on average of the Oakley population over </w:t>
      </w:r>
      <w:r w:rsidR="00F15C6B" w:rsidRPr="001406A1">
        <w:rPr>
          <w:rFonts w:ascii="Verdana" w:hAnsi="Verdana" w:cs="Verdana"/>
          <w:bCs/>
          <w:lang w:val="en-GB"/>
        </w:rPr>
        <w:t>10 years between 2001 and 2011.  The proportion of those age</w:t>
      </w:r>
      <w:r w:rsidR="00F17610" w:rsidRPr="001406A1">
        <w:rPr>
          <w:rFonts w:ascii="Verdana" w:hAnsi="Verdana" w:cs="Verdana"/>
          <w:bCs/>
          <w:lang w:val="en-GB"/>
        </w:rPr>
        <w:t>d</w:t>
      </w:r>
      <w:r w:rsidR="00F15C6B" w:rsidRPr="001406A1">
        <w:rPr>
          <w:rFonts w:ascii="Verdana" w:hAnsi="Verdana" w:cs="Verdana"/>
          <w:bCs/>
          <w:lang w:val="en-GB"/>
        </w:rPr>
        <w:t xml:space="preserve"> 65+ has risen from just over 11% to over 15%</w:t>
      </w:r>
      <w:r w:rsidR="002B6500" w:rsidRPr="001406A1">
        <w:rPr>
          <w:rFonts w:ascii="Verdana" w:hAnsi="Verdana" w:cs="Verdana"/>
          <w:bCs/>
          <w:lang w:val="en-GB"/>
        </w:rPr>
        <w:t xml:space="preserve">. </w:t>
      </w:r>
      <w:r w:rsidR="008E0C96" w:rsidRPr="001406A1">
        <w:rPr>
          <w:rFonts w:ascii="Verdana" w:hAnsi="Verdana" w:cs="Verdana"/>
          <w:bCs/>
          <w:lang w:val="en-GB"/>
        </w:rPr>
        <w:t>T</w:t>
      </w:r>
      <w:r w:rsidR="002B6500" w:rsidRPr="001406A1">
        <w:rPr>
          <w:rFonts w:ascii="Verdana" w:hAnsi="Verdana" w:cs="Verdana"/>
          <w:bCs/>
          <w:lang w:val="en-GB"/>
        </w:rPr>
        <w:t xml:space="preserve">he age profile is </w:t>
      </w:r>
      <w:r w:rsidR="00F15C6B" w:rsidRPr="001406A1">
        <w:rPr>
          <w:rFonts w:ascii="Verdana" w:hAnsi="Verdana" w:cs="Verdana"/>
          <w:bCs/>
          <w:lang w:val="en-GB"/>
        </w:rPr>
        <w:t>now significantly</w:t>
      </w:r>
      <w:r w:rsidR="00C628B6" w:rsidRPr="001406A1">
        <w:rPr>
          <w:rFonts w:ascii="Verdana" w:hAnsi="Verdana" w:cs="Verdana"/>
          <w:bCs/>
          <w:lang w:val="en-GB"/>
        </w:rPr>
        <w:t xml:space="preserve"> older than</w:t>
      </w:r>
      <w:r w:rsidR="002B6500" w:rsidRPr="001406A1">
        <w:rPr>
          <w:rFonts w:ascii="Verdana" w:hAnsi="Verdana" w:cs="Verdana"/>
          <w:bCs/>
          <w:lang w:val="en-GB"/>
        </w:rPr>
        <w:t xml:space="preserve"> Bedford Borough </w:t>
      </w:r>
      <w:r w:rsidR="00F15C6B" w:rsidRPr="001406A1">
        <w:rPr>
          <w:rFonts w:ascii="Verdana" w:hAnsi="Verdana" w:cs="Verdana"/>
          <w:bCs/>
          <w:lang w:val="en-GB"/>
        </w:rPr>
        <w:t>as a whole</w:t>
      </w:r>
      <w:r w:rsidR="002B6500" w:rsidRPr="001406A1">
        <w:rPr>
          <w:rFonts w:ascii="Verdana" w:hAnsi="Verdana" w:cs="Verdana"/>
          <w:bCs/>
          <w:lang w:val="en-GB"/>
        </w:rPr>
        <w:t>.</w:t>
      </w:r>
    </w:p>
    <w:p w:rsidR="002B6500" w:rsidRPr="00B072A4" w:rsidRDefault="002B6500" w:rsidP="002B6500">
      <w:pPr>
        <w:rPr>
          <w:rFonts w:ascii="Verdana" w:hAnsi="Verdana" w:cs="Verdana"/>
          <w:b/>
          <w:bCs/>
          <w:sz w:val="22"/>
          <w:szCs w:val="22"/>
          <w:lang w:val="en-GB"/>
        </w:rPr>
      </w:pPr>
    </w:p>
    <w:p w:rsidR="002B6500" w:rsidRPr="00B072A4" w:rsidRDefault="002B6500" w:rsidP="002B6500">
      <w:pPr>
        <w:rPr>
          <w:rFonts w:ascii="Verdana" w:hAnsi="Verdana" w:cs="Verdana"/>
          <w:b/>
          <w:bCs/>
          <w:sz w:val="22"/>
          <w:szCs w:val="22"/>
          <w:lang w:val="en-GB"/>
        </w:rPr>
      </w:pPr>
      <w:r w:rsidRPr="00C628B6">
        <w:rPr>
          <w:rFonts w:ascii="Verdana" w:hAnsi="Verdana" w:cs="Verdana"/>
          <w:b/>
          <w:bCs/>
          <w:sz w:val="22"/>
          <w:szCs w:val="22"/>
          <w:lang w:val="en-GB"/>
        </w:rPr>
        <w:t>2.2</w:t>
      </w:r>
      <w:r w:rsidRPr="00B072A4">
        <w:rPr>
          <w:rFonts w:ascii="Verdana" w:hAnsi="Verdana" w:cs="Verdana"/>
          <w:b/>
          <w:bCs/>
          <w:sz w:val="22"/>
          <w:szCs w:val="22"/>
          <w:lang w:val="en-GB"/>
        </w:rPr>
        <w:tab/>
        <w:t>Household Composition</w:t>
      </w:r>
    </w:p>
    <w:p w:rsidR="002B6500" w:rsidRPr="00B072A4" w:rsidRDefault="002B6500" w:rsidP="002B6500">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2B6500" w:rsidRPr="00B072A4" w:rsidTr="002B6500">
        <w:tc>
          <w:tcPr>
            <w:tcW w:w="4575" w:type="dxa"/>
            <w:tcBorders>
              <w:top w:val="single" w:sz="8" w:space="0" w:color="auto"/>
              <w:left w:val="single" w:sz="8" w:space="0" w:color="auto"/>
              <w:bottom w:val="single" w:sz="8" w:space="0" w:color="auto"/>
              <w:right w:val="nil"/>
            </w:tcBorders>
          </w:tcPr>
          <w:p w:rsidR="002B6500" w:rsidRPr="00B072A4" w:rsidRDefault="002B6500" w:rsidP="002B6500">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2B6500" w:rsidRPr="00B072A4" w:rsidRDefault="00F15C6B" w:rsidP="00496E83">
            <w:pPr>
              <w:rPr>
                <w:rFonts w:ascii="Verdana" w:hAnsi="Verdana" w:cs="Verdana"/>
                <w:lang w:val="en-GB"/>
              </w:rPr>
            </w:pPr>
            <w:r>
              <w:rPr>
                <w:rFonts w:ascii="Verdana" w:hAnsi="Verdana" w:cs="Verdana"/>
                <w:b/>
                <w:bCs/>
                <w:sz w:val="22"/>
                <w:szCs w:val="22"/>
                <w:lang w:val="en-GB"/>
              </w:rPr>
              <w:t>% Oakley</w:t>
            </w:r>
          </w:p>
        </w:tc>
        <w:tc>
          <w:tcPr>
            <w:tcW w:w="2835" w:type="dxa"/>
            <w:tcBorders>
              <w:top w:val="single" w:sz="8" w:space="0" w:color="auto"/>
              <w:left w:val="single" w:sz="8" w:space="0" w:color="auto"/>
              <w:bottom w:val="single" w:sz="8" w:space="0" w:color="auto"/>
              <w:right w:val="single" w:sz="8" w:space="0" w:color="auto"/>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 Bedford Borough</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lang w:val="en-GB"/>
              </w:rPr>
            </w:pPr>
            <w:r w:rsidRPr="00B072A4">
              <w:rPr>
                <w:rFonts w:ascii="Verdana" w:hAnsi="Verdana" w:cs="Verdana"/>
                <w:sz w:val="22"/>
                <w:szCs w:val="22"/>
                <w:lang w:val="en-GB"/>
              </w:rPr>
              <w:t xml:space="preserve">1 person – pensioner </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10.5</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11.9</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lang w:val="en-GB"/>
              </w:rPr>
            </w:pPr>
            <w:r w:rsidRPr="00B072A4">
              <w:rPr>
                <w:rFonts w:ascii="Verdana" w:hAnsi="Verdana" w:cs="Verdana"/>
                <w:sz w:val="22"/>
                <w:szCs w:val="22"/>
                <w:lang w:val="en-GB"/>
              </w:rPr>
              <w:t xml:space="preserve">1 person – other </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7.9</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16.9</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Couple – both 65+</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9.9</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8.2</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Family – without dependent children</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32.4</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26.9</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Family – with dependent child(ren)</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36.2</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28.5</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lang w:val="en-GB"/>
              </w:rPr>
            </w:pPr>
            <w:r w:rsidRPr="00B072A4">
              <w:rPr>
                <w:rFonts w:ascii="Verdana" w:hAnsi="Verdana" w:cs="Verdana"/>
                <w:sz w:val="22"/>
                <w:szCs w:val="22"/>
                <w:lang w:val="en-GB"/>
              </w:rPr>
              <w:t>Other</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C628B6" w:rsidP="002B6500">
            <w:pPr>
              <w:jc w:val="right"/>
              <w:rPr>
                <w:rFonts w:ascii="Verdana" w:hAnsi="Verdana" w:cs="Arial"/>
                <w:sz w:val="22"/>
                <w:szCs w:val="22"/>
                <w:lang w:val="en-GB"/>
              </w:rPr>
            </w:pPr>
            <w:r>
              <w:rPr>
                <w:rFonts w:ascii="Verdana" w:hAnsi="Verdana" w:cs="Arial"/>
                <w:sz w:val="22"/>
                <w:szCs w:val="22"/>
                <w:lang w:val="en-GB"/>
              </w:rPr>
              <w:t>3.1</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7.5</w:t>
            </w:r>
          </w:p>
        </w:tc>
      </w:tr>
    </w:tbl>
    <w:p w:rsidR="002B6500" w:rsidRPr="00B072A4" w:rsidRDefault="002B6500" w:rsidP="002B6500">
      <w:pPr>
        <w:rPr>
          <w:rFonts w:ascii="Verdana" w:hAnsi="Verdana" w:cs="Verdana"/>
          <w:sz w:val="22"/>
          <w:szCs w:val="22"/>
          <w:lang w:val="en-GB"/>
        </w:rPr>
      </w:pPr>
    </w:p>
    <w:p w:rsidR="002B6500" w:rsidRPr="001406A1" w:rsidRDefault="00C628B6" w:rsidP="002B6500">
      <w:pPr>
        <w:rPr>
          <w:rFonts w:ascii="Verdana" w:hAnsi="Verdana" w:cs="Verdana"/>
          <w:lang w:val="en-GB"/>
        </w:rPr>
      </w:pPr>
      <w:r w:rsidRPr="001406A1">
        <w:rPr>
          <w:rFonts w:ascii="Verdana" w:hAnsi="Verdana" w:cs="Verdana"/>
          <w:lang w:val="en-GB"/>
        </w:rPr>
        <w:t>Oakley has higher levels of family (both with and without dependent children) households than the Bedford Borough average</w:t>
      </w:r>
      <w:r w:rsidR="002B6500" w:rsidRPr="001406A1">
        <w:rPr>
          <w:rFonts w:ascii="Verdana" w:hAnsi="Verdana" w:cs="Verdana"/>
          <w:lang w:val="en-GB"/>
        </w:rPr>
        <w:t xml:space="preserve">. </w:t>
      </w:r>
    </w:p>
    <w:p w:rsidR="002B6500" w:rsidRPr="00B072A4" w:rsidRDefault="002B6500" w:rsidP="002B6500">
      <w:pPr>
        <w:rPr>
          <w:rFonts w:ascii="Verdana" w:hAnsi="Verdana" w:cs="Verdana"/>
          <w:b/>
          <w:bCs/>
          <w:sz w:val="22"/>
          <w:szCs w:val="22"/>
          <w:lang w:val="en-GB"/>
        </w:rPr>
      </w:pPr>
    </w:p>
    <w:p w:rsidR="002B6500" w:rsidRPr="00B072A4" w:rsidRDefault="002B6500" w:rsidP="002B6500">
      <w:pPr>
        <w:widowControl/>
        <w:overflowPunct/>
        <w:adjustRightInd/>
        <w:rPr>
          <w:rFonts w:ascii="Verdana" w:hAnsi="Verdana" w:cs="Verdana"/>
          <w:b/>
          <w:bCs/>
          <w:sz w:val="22"/>
          <w:szCs w:val="22"/>
          <w:lang w:val="en-GB"/>
        </w:rPr>
      </w:pPr>
      <w:r w:rsidRPr="00B072A4">
        <w:rPr>
          <w:rFonts w:ascii="Verdana" w:hAnsi="Verdana" w:cs="Verdana"/>
          <w:b/>
          <w:bCs/>
          <w:sz w:val="22"/>
          <w:szCs w:val="22"/>
          <w:lang w:val="en-GB"/>
        </w:rPr>
        <w:t>2.3</w:t>
      </w:r>
      <w:r w:rsidRPr="00B072A4">
        <w:rPr>
          <w:rFonts w:ascii="Verdana" w:hAnsi="Verdana" w:cs="Verdana"/>
          <w:b/>
          <w:bCs/>
          <w:sz w:val="22"/>
          <w:szCs w:val="22"/>
          <w:lang w:val="en-GB"/>
        </w:rPr>
        <w:tab/>
        <w:t xml:space="preserve">Housing Tenure </w:t>
      </w:r>
    </w:p>
    <w:p w:rsidR="002B6500" w:rsidRPr="00B072A4" w:rsidRDefault="002B6500" w:rsidP="002B6500">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2B6500" w:rsidRPr="00B072A4" w:rsidTr="002B6500">
        <w:tc>
          <w:tcPr>
            <w:tcW w:w="4575" w:type="dxa"/>
            <w:tcBorders>
              <w:top w:val="single" w:sz="8" w:space="0" w:color="auto"/>
              <w:left w:val="single" w:sz="8" w:space="0" w:color="auto"/>
              <w:bottom w:val="single" w:sz="8" w:space="0" w:color="auto"/>
              <w:right w:val="nil"/>
            </w:tcBorders>
          </w:tcPr>
          <w:p w:rsidR="002B6500" w:rsidRPr="00B072A4" w:rsidRDefault="002B6500" w:rsidP="002B6500">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2B6500" w:rsidRPr="00B072A4" w:rsidRDefault="00C628B6" w:rsidP="002B6500">
            <w:pPr>
              <w:rPr>
                <w:rFonts w:ascii="Verdana" w:hAnsi="Verdana" w:cs="Verdana"/>
                <w:lang w:val="en-GB"/>
              </w:rPr>
            </w:pPr>
            <w:r>
              <w:rPr>
                <w:rFonts w:ascii="Verdana" w:hAnsi="Verdana" w:cs="Verdana"/>
                <w:b/>
                <w:bCs/>
                <w:sz w:val="22"/>
                <w:szCs w:val="22"/>
                <w:lang w:val="en-GB"/>
              </w:rPr>
              <w:t>% Oakley</w:t>
            </w:r>
          </w:p>
        </w:tc>
        <w:tc>
          <w:tcPr>
            <w:tcW w:w="2835" w:type="dxa"/>
            <w:tcBorders>
              <w:top w:val="single" w:sz="8" w:space="0" w:color="auto"/>
              <w:left w:val="single" w:sz="8" w:space="0" w:color="auto"/>
              <w:bottom w:val="single" w:sz="8" w:space="0" w:color="auto"/>
              <w:right w:val="single" w:sz="8" w:space="0" w:color="auto"/>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 Bedford Borough</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Owned outright</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40.9</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Arial"/>
                <w:sz w:val="22"/>
                <w:szCs w:val="22"/>
                <w:lang w:val="en-GB"/>
              </w:rPr>
            </w:pPr>
            <w:r w:rsidRPr="00B072A4">
              <w:rPr>
                <w:rFonts w:ascii="Verdana" w:hAnsi="Verdana" w:cs="Arial"/>
                <w:sz w:val="22"/>
                <w:szCs w:val="22"/>
                <w:lang w:val="en-GB"/>
              </w:rPr>
              <w:t>31.4</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Owned with mortgage/loan</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44.5</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34.3</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Shared ownership</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0.6</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1.0</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Social rented</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5.5</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sz w:val="22"/>
                <w:szCs w:val="22"/>
                <w:lang w:val="en-GB"/>
              </w:rPr>
            </w:pPr>
            <w:r w:rsidRPr="00B072A4">
              <w:rPr>
                <w:rFonts w:ascii="Verdana" w:hAnsi="Verdana"/>
                <w:sz w:val="22"/>
                <w:szCs w:val="22"/>
                <w:lang w:val="en-GB"/>
              </w:rPr>
              <w:t>16.1</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lastRenderedPageBreak/>
              <w:t xml:space="preserve">Private rented </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7.3</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sz w:val="22"/>
                <w:szCs w:val="22"/>
                <w:lang w:val="en-GB"/>
              </w:rPr>
            </w:pPr>
            <w:r w:rsidRPr="00B072A4">
              <w:rPr>
                <w:rFonts w:ascii="Verdana" w:hAnsi="Verdana"/>
                <w:sz w:val="22"/>
                <w:szCs w:val="22"/>
                <w:lang w:val="en-GB"/>
              </w:rPr>
              <w:t>15.9</w:t>
            </w:r>
          </w:p>
        </w:tc>
      </w:tr>
      <w:tr w:rsidR="002B6500" w:rsidRPr="00B072A4" w:rsidTr="002B6500">
        <w:tc>
          <w:tcPr>
            <w:tcW w:w="4575" w:type="dxa"/>
            <w:tcBorders>
              <w:top w:val="single" w:sz="8" w:space="0" w:color="auto"/>
              <w:left w:val="single" w:sz="8" w:space="0" w:color="auto"/>
              <w:bottom w:val="single" w:sz="8" w:space="0" w:color="auto"/>
              <w:right w:val="nil"/>
            </w:tcBorders>
            <w:vAlign w:val="bottom"/>
          </w:tcPr>
          <w:p w:rsidR="002B6500" w:rsidRPr="00B072A4" w:rsidRDefault="002B6500" w:rsidP="002B6500">
            <w:pPr>
              <w:rPr>
                <w:rFonts w:ascii="Verdana" w:hAnsi="Verdana" w:cs="Verdana"/>
                <w:sz w:val="22"/>
                <w:szCs w:val="22"/>
                <w:lang w:val="en-GB"/>
              </w:rPr>
            </w:pPr>
            <w:r w:rsidRPr="00B072A4">
              <w:rPr>
                <w:rFonts w:ascii="Verdana" w:hAnsi="Verdana" w:cs="Verdana"/>
                <w:sz w:val="22"/>
                <w:szCs w:val="22"/>
                <w:lang w:val="en-GB"/>
              </w:rPr>
              <w:t>Living rent free</w:t>
            </w:r>
          </w:p>
        </w:tc>
        <w:tc>
          <w:tcPr>
            <w:tcW w:w="2409" w:type="dxa"/>
            <w:tcBorders>
              <w:top w:val="single" w:sz="8" w:space="0" w:color="auto"/>
              <w:left w:val="single" w:sz="8" w:space="0" w:color="auto"/>
              <w:bottom w:val="single" w:sz="8" w:space="0" w:color="auto"/>
              <w:right w:val="nil"/>
            </w:tcBorders>
            <w:vAlign w:val="bottom"/>
          </w:tcPr>
          <w:p w:rsidR="002B6500" w:rsidRPr="00B072A4" w:rsidRDefault="00A67D9F" w:rsidP="002B6500">
            <w:pPr>
              <w:jc w:val="right"/>
              <w:rPr>
                <w:rFonts w:ascii="Verdana" w:hAnsi="Verdana" w:cs="Arial"/>
                <w:sz w:val="22"/>
                <w:szCs w:val="22"/>
                <w:lang w:val="en-GB"/>
              </w:rPr>
            </w:pPr>
            <w:r>
              <w:rPr>
                <w:rFonts w:ascii="Verdana" w:hAnsi="Verdana" w:cs="Arial"/>
                <w:sz w:val="22"/>
                <w:szCs w:val="22"/>
                <w:lang w:val="en-GB"/>
              </w:rPr>
              <w:t>1.2</w:t>
            </w:r>
          </w:p>
        </w:tc>
        <w:tc>
          <w:tcPr>
            <w:tcW w:w="2835" w:type="dxa"/>
            <w:tcBorders>
              <w:top w:val="single" w:sz="8" w:space="0" w:color="auto"/>
              <w:left w:val="single" w:sz="8" w:space="0" w:color="auto"/>
              <w:bottom w:val="single" w:sz="8" w:space="0" w:color="auto"/>
              <w:right w:val="single" w:sz="8" w:space="0" w:color="auto"/>
            </w:tcBorders>
            <w:vAlign w:val="bottom"/>
          </w:tcPr>
          <w:p w:rsidR="002B6500" w:rsidRPr="00B072A4" w:rsidRDefault="002B6500" w:rsidP="002B6500">
            <w:pPr>
              <w:jc w:val="right"/>
              <w:rPr>
                <w:rFonts w:ascii="Verdana" w:hAnsi="Verdana"/>
                <w:sz w:val="22"/>
                <w:szCs w:val="22"/>
                <w:lang w:val="en-GB"/>
              </w:rPr>
            </w:pPr>
            <w:r w:rsidRPr="00B072A4">
              <w:rPr>
                <w:rFonts w:ascii="Verdana" w:hAnsi="Verdana"/>
                <w:sz w:val="22"/>
                <w:szCs w:val="22"/>
                <w:lang w:val="en-GB"/>
              </w:rPr>
              <w:t>1.3</w:t>
            </w:r>
          </w:p>
        </w:tc>
      </w:tr>
    </w:tbl>
    <w:p w:rsidR="002B6500" w:rsidRPr="001406A1" w:rsidRDefault="00A67D9F" w:rsidP="002B6500">
      <w:pPr>
        <w:rPr>
          <w:rFonts w:ascii="Verdana" w:hAnsi="Verdana" w:cs="Verdana"/>
          <w:szCs w:val="22"/>
          <w:lang w:val="en-GB"/>
        </w:rPr>
      </w:pPr>
      <w:r w:rsidRPr="001406A1">
        <w:rPr>
          <w:rFonts w:ascii="Verdana" w:hAnsi="Verdana" w:cs="Verdana"/>
          <w:szCs w:val="22"/>
          <w:lang w:val="en-GB"/>
        </w:rPr>
        <w:t xml:space="preserve">The majority of households are owner occupiers in Oakley, with higher levels of properties owned outright, and lower levels of social and private renting than Bedford Borough averages.  </w:t>
      </w:r>
    </w:p>
    <w:p w:rsidR="002B6500" w:rsidRPr="00B072A4" w:rsidRDefault="002B6500" w:rsidP="002B6500">
      <w:pPr>
        <w:rPr>
          <w:rFonts w:ascii="Verdana" w:hAnsi="Verdana" w:cs="Verdana"/>
          <w:b/>
          <w:bCs/>
          <w:sz w:val="22"/>
          <w:szCs w:val="22"/>
          <w:lang w:val="en-GB"/>
        </w:rPr>
      </w:pPr>
    </w:p>
    <w:p w:rsidR="002B6500" w:rsidRPr="00B072A4" w:rsidRDefault="002B6500" w:rsidP="002B6500">
      <w:pPr>
        <w:rPr>
          <w:rFonts w:ascii="Verdana" w:hAnsi="Verdana" w:cs="Verdana"/>
          <w:b/>
          <w:bCs/>
          <w:sz w:val="22"/>
          <w:szCs w:val="22"/>
          <w:lang w:val="en-GB"/>
        </w:rPr>
      </w:pPr>
      <w:r w:rsidRPr="00B072A4">
        <w:rPr>
          <w:rFonts w:ascii="Verdana" w:hAnsi="Verdana" w:cs="Verdana"/>
          <w:b/>
          <w:bCs/>
          <w:sz w:val="22"/>
          <w:szCs w:val="22"/>
          <w:lang w:val="en-GB"/>
        </w:rPr>
        <w:t>2.4</w:t>
      </w:r>
      <w:r w:rsidRPr="00B072A4">
        <w:rPr>
          <w:rFonts w:ascii="Verdana" w:hAnsi="Verdana" w:cs="Verdana"/>
          <w:b/>
          <w:bCs/>
          <w:sz w:val="22"/>
          <w:szCs w:val="22"/>
          <w:lang w:val="en-GB"/>
        </w:rPr>
        <w:tab/>
        <w:t>Dwelling Types</w:t>
      </w:r>
    </w:p>
    <w:p w:rsidR="002B6500" w:rsidRPr="00B072A4" w:rsidRDefault="002B6500" w:rsidP="002B6500">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2B6500" w:rsidRPr="00B072A4" w:rsidTr="002B6500">
        <w:tc>
          <w:tcPr>
            <w:tcW w:w="4575" w:type="dxa"/>
            <w:tcBorders>
              <w:top w:val="single" w:sz="8" w:space="0" w:color="auto"/>
              <w:left w:val="single" w:sz="8" w:space="0" w:color="auto"/>
              <w:bottom w:val="single" w:sz="8" w:space="0" w:color="auto"/>
              <w:right w:val="nil"/>
            </w:tcBorders>
          </w:tcPr>
          <w:p w:rsidR="002B6500" w:rsidRPr="00B072A4" w:rsidRDefault="002B6500" w:rsidP="002B6500">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2B6500" w:rsidRPr="00B072A4" w:rsidRDefault="00A67D9F" w:rsidP="002B6500">
            <w:pPr>
              <w:rPr>
                <w:rFonts w:ascii="Verdana" w:hAnsi="Verdana" w:cs="Verdana"/>
                <w:lang w:val="en-GB"/>
              </w:rPr>
            </w:pPr>
            <w:r>
              <w:rPr>
                <w:rFonts w:ascii="Verdana" w:hAnsi="Verdana" w:cs="Verdana"/>
                <w:b/>
                <w:bCs/>
                <w:sz w:val="22"/>
                <w:szCs w:val="22"/>
                <w:lang w:val="en-GB"/>
              </w:rPr>
              <w:t>% Oakley</w:t>
            </w:r>
          </w:p>
        </w:tc>
        <w:tc>
          <w:tcPr>
            <w:tcW w:w="2835" w:type="dxa"/>
            <w:tcBorders>
              <w:top w:val="single" w:sz="8" w:space="0" w:color="auto"/>
              <w:left w:val="single" w:sz="8" w:space="0" w:color="auto"/>
              <w:bottom w:val="single" w:sz="8" w:space="0" w:color="auto"/>
              <w:right w:val="single" w:sz="8" w:space="0" w:color="auto"/>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 Bedford Borough</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Detached house</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A67D9F" w:rsidP="002B6500">
            <w:pPr>
              <w:jc w:val="right"/>
              <w:rPr>
                <w:rFonts w:ascii="Verdana" w:hAnsi="Verdana" w:cs="Verdana"/>
                <w:sz w:val="22"/>
                <w:szCs w:val="22"/>
                <w:lang w:val="en-GB"/>
              </w:rPr>
            </w:pPr>
            <w:r>
              <w:rPr>
                <w:rFonts w:ascii="Verdana" w:hAnsi="Verdana" w:cs="Verdana"/>
                <w:sz w:val="22"/>
                <w:szCs w:val="22"/>
                <w:lang w:val="en-GB"/>
              </w:rPr>
              <w:t>41.8</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27.4</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Semi-detached house</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A67D9F" w:rsidP="002B6500">
            <w:pPr>
              <w:jc w:val="right"/>
              <w:rPr>
                <w:rFonts w:ascii="Verdana" w:hAnsi="Verdana" w:cs="Verdana"/>
                <w:sz w:val="22"/>
                <w:szCs w:val="22"/>
                <w:lang w:val="en-GB"/>
              </w:rPr>
            </w:pPr>
            <w:r>
              <w:rPr>
                <w:rFonts w:ascii="Verdana" w:hAnsi="Verdana" w:cs="Verdana"/>
                <w:sz w:val="22"/>
                <w:szCs w:val="22"/>
                <w:lang w:val="en-GB"/>
              </w:rPr>
              <w:t>45.2</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32.2</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Terraced house</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A67D9F" w:rsidP="002B6500">
            <w:pPr>
              <w:jc w:val="right"/>
              <w:rPr>
                <w:rFonts w:ascii="Verdana" w:hAnsi="Verdana" w:cs="Verdana"/>
                <w:sz w:val="22"/>
                <w:szCs w:val="22"/>
                <w:lang w:val="en-GB"/>
              </w:rPr>
            </w:pPr>
            <w:r>
              <w:rPr>
                <w:rFonts w:ascii="Verdana" w:hAnsi="Verdana" w:cs="Verdana"/>
                <w:sz w:val="22"/>
                <w:szCs w:val="22"/>
                <w:lang w:val="en-GB"/>
              </w:rPr>
              <w:t>9.4</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21.9</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Flat</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A67D9F" w:rsidP="002B6500">
            <w:pPr>
              <w:jc w:val="right"/>
              <w:rPr>
                <w:rFonts w:ascii="Verdana" w:hAnsi="Verdana" w:cs="Verdana"/>
                <w:sz w:val="22"/>
                <w:szCs w:val="22"/>
                <w:lang w:val="en-GB"/>
              </w:rPr>
            </w:pPr>
            <w:r>
              <w:rPr>
                <w:rFonts w:ascii="Verdana" w:hAnsi="Verdana" w:cs="Verdana"/>
                <w:sz w:val="22"/>
                <w:szCs w:val="22"/>
                <w:lang w:val="en-GB"/>
              </w:rPr>
              <w:t>3.4</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17.6</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Caravan/other temp. accommodation</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A67D9F" w:rsidP="002B6500">
            <w:pPr>
              <w:jc w:val="right"/>
              <w:rPr>
                <w:rFonts w:ascii="Verdana" w:hAnsi="Verdana" w:cs="Verdana"/>
                <w:sz w:val="22"/>
                <w:szCs w:val="22"/>
                <w:lang w:val="en-GB"/>
              </w:rPr>
            </w:pPr>
            <w:r>
              <w:rPr>
                <w:rFonts w:ascii="Verdana" w:hAnsi="Verdana" w:cs="Verdana"/>
                <w:sz w:val="22"/>
                <w:szCs w:val="22"/>
                <w:lang w:val="en-GB"/>
              </w:rPr>
              <w:t>0.2</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0.9</w:t>
            </w:r>
          </w:p>
        </w:tc>
      </w:tr>
    </w:tbl>
    <w:p w:rsidR="002B6500" w:rsidRPr="00B072A4" w:rsidRDefault="002B6500" w:rsidP="002B6500">
      <w:pPr>
        <w:rPr>
          <w:rFonts w:ascii="Verdana" w:hAnsi="Verdana" w:cs="Verdana"/>
          <w:sz w:val="22"/>
          <w:szCs w:val="22"/>
          <w:lang w:val="en-GB"/>
        </w:rPr>
      </w:pPr>
    </w:p>
    <w:p w:rsidR="002B6500" w:rsidRPr="001406A1" w:rsidRDefault="004D27EE" w:rsidP="002B6500">
      <w:pPr>
        <w:rPr>
          <w:rFonts w:ascii="Verdana" w:hAnsi="Verdana" w:cs="Verdana"/>
          <w:szCs w:val="22"/>
          <w:lang w:val="en-GB"/>
        </w:rPr>
      </w:pPr>
      <w:r w:rsidRPr="001406A1">
        <w:rPr>
          <w:rFonts w:ascii="Verdana" w:hAnsi="Verdana" w:cs="Verdana"/>
          <w:szCs w:val="22"/>
          <w:lang w:val="en-GB"/>
        </w:rPr>
        <w:t xml:space="preserve">There are considerably more detached houses, with correspondingly fewer terraced houses and flats, in Oakley compared to Bedford Borough averages.  This is likely to indicate a relative lack of affordable properties.  </w:t>
      </w:r>
    </w:p>
    <w:p w:rsidR="002B6500" w:rsidRPr="00B072A4" w:rsidRDefault="002B6500" w:rsidP="002B6500">
      <w:pPr>
        <w:rPr>
          <w:rFonts w:ascii="Verdana" w:hAnsi="Verdana" w:cs="Verdana"/>
          <w:sz w:val="22"/>
          <w:szCs w:val="22"/>
          <w:lang w:val="en-GB"/>
        </w:rPr>
      </w:pPr>
    </w:p>
    <w:p w:rsidR="002B6500" w:rsidRPr="00B072A4" w:rsidRDefault="002B6500" w:rsidP="002B6500">
      <w:pPr>
        <w:rPr>
          <w:rFonts w:ascii="Verdana" w:hAnsi="Verdana" w:cs="Verdana"/>
          <w:b/>
          <w:bCs/>
          <w:sz w:val="22"/>
          <w:szCs w:val="22"/>
          <w:lang w:val="en-GB"/>
        </w:rPr>
      </w:pPr>
      <w:r w:rsidRPr="00B072A4">
        <w:rPr>
          <w:rFonts w:ascii="Verdana" w:hAnsi="Verdana" w:cs="Verdana"/>
          <w:b/>
          <w:bCs/>
          <w:sz w:val="22"/>
          <w:szCs w:val="22"/>
          <w:lang w:val="en-GB"/>
        </w:rPr>
        <w:t>2.5</w:t>
      </w:r>
      <w:r w:rsidRPr="00B072A4">
        <w:rPr>
          <w:rFonts w:ascii="Verdana" w:hAnsi="Verdana" w:cs="Verdana"/>
          <w:b/>
          <w:bCs/>
          <w:sz w:val="22"/>
          <w:szCs w:val="22"/>
          <w:lang w:val="en-GB"/>
        </w:rPr>
        <w:tab/>
        <w:t>Housing in poor condition</w:t>
      </w:r>
    </w:p>
    <w:p w:rsidR="002B6500" w:rsidRPr="00B072A4" w:rsidRDefault="002B6500" w:rsidP="002B6500">
      <w:pPr>
        <w:rPr>
          <w:rFonts w:ascii="Verdana" w:hAnsi="Verdana" w:cs="Verdana"/>
          <w:b/>
          <w:bCs/>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2B6500" w:rsidRPr="00B072A4" w:rsidTr="002B6500">
        <w:tc>
          <w:tcPr>
            <w:tcW w:w="4575" w:type="dxa"/>
            <w:tcBorders>
              <w:top w:val="single" w:sz="8" w:space="0" w:color="auto"/>
              <w:left w:val="single" w:sz="8" w:space="0" w:color="auto"/>
              <w:bottom w:val="single" w:sz="8" w:space="0" w:color="auto"/>
              <w:right w:val="nil"/>
            </w:tcBorders>
          </w:tcPr>
          <w:p w:rsidR="002B6500" w:rsidRPr="00B072A4" w:rsidRDefault="002B6500" w:rsidP="002B6500">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2B6500" w:rsidRPr="00B072A4" w:rsidRDefault="004D27EE" w:rsidP="002B6500">
            <w:pPr>
              <w:rPr>
                <w:rFonts w:ascii="Verdana" w:hAnsi="Verdana" w:cs="Verdana"/>
                <w:lang w:val="en-GB"/>
              </w:rPr>
            </w:pPr>
            <w:r>
              <w:rPr>
                <w:rFonts w:ascii="Verdana" w:hAnsi="Verdana" w:cs="Verdana"/>
                <w:b/>
                <w:bCs/>
                <w:sz w:val="22"/>
                <w:szCs w:val="22"/>
                <w:lang w:val="en-GB"/>
              </w:rPr>
              <w:t>% Oakley</w:t>
            </w:r>
          </w:p>
        </w:tc>
        <w:tc>
          <w:tcPr>
            <w:tcW w:w="2835" w:type="dxa"/>
            <w:tcBorders>
              <w:top w:val="single" w:sz="8" w:space="0" w:color="auto"/>
              <w:left w:val="single" w:sz="8" w:space="0" w:color="auto"/>
              <w:bottom w:val="single" w:sz="8" w:space="0" w:color="auto"/>
              <w:right w:val="single" w:sz="8" w:space="0" w:color="auto"/>
            </w:tcBorders>
          </w:tcPr>
          <w:p w:rsidR="002B6500" w:rsidRPr="00B072A4" w:rsidRDefault="002B6500" w:rsidP="002B6500">
            <w:pPr>
              <w:rPr>
                <w:rFonts w:ascii="Verdana" w:hAnsi="Verdana" w:cs="Verdana"/>
                <w:lang w:val="en-GB"/>
              </w:rPr>
            </w:pPr>
            <w:r w:rsidRPr="00B072A4">
              <w:rPr>
                <w:rFonts w:ascii="Verdana" w:hAnsi="Verdana" w:cs="Verdana"/>
                <w:b/>
                <w:bCs/>
                <w:sz w:val="22"/>
                <w:szCs w:val="22"/>
                <w:lang w:val="en-GB"/>
              </w:rPr>
              <w:t>% Bedford Borough</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Overcrowded households</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4D27EE" w:rsidP="002B6500">
            <w:pPr>
              <w:jc w:val="right"/>
              <w:rPr>
                <w:rFonts w:ascii="Verdana" w:hAnsi="Verdana" w:cs="Verdana"/>
                <w:sz w:val="22"/>
                <w:szCs w:val="22"/>
                <w:lang w:val="en-GB"/>
              </w:rPr>
            </w:pPr>
            <w:r>
              <w:rPr>
                <w:rFonts w:ascii="Verdana" w:hAnsi="Verdana" w:cs="Verdana"/>
                <w:sz w:val="22"/>
                <w:szCs w:val="22"/>
                <w:lang w:val="en-GB"/>
              </w:rPr>
              <w:t>1.9</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sz w:val="22"/>
                <w:szCs w:val="22"/>
                <w:lang w:val="en-GB"/>
              </w:rPr>
              <w:t>7.7</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Households without central heating</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4D27EE" w:rsidP="002B6500">
            <w:pPr>
              <w:jc w:val="right"/>
              <w:rPr>
                <w:rFonts w:ascii="Verdana" w:hAnsi="Verdana" w:cs="Verdana"/>
                <w:sz w:val="22"/>
                <w:szCs w:val="22"/>
                <w:lang w:val="en-GB"/>
              </w:rPr>
            </w:pPr>
            <w:r>
              <w:rPr>
                <w:rFonts w:ascii="Verdana" w:hAnsi="Verdana" w:cs="Verdana"/>
                <w:sz w:val="22"/>
                <w:szCs w:val="22"/>
                <w:lang w:val="en-GB"/>
              </w:rPr>
              <w:t>0.9</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sz w:val="22"/>
                <w:szCs w:val="22"/>
                <w:lang w:val="en-GB"/>
              </w:rPr>
              <w:t>2.0</w:t>
            </w:r>
          </w:p>
        </w:tc>
      </w:tr>
      <w:tr w:rsidR="002B6500" w:rsidRPr="00B072A4" w:rsidTr="002B6500">
        <w:tc>
          <w:tcPr>
            <w:tcW w:w="4575" w:type="dxa"/>
            <w:tcBorders>
              <w:top w:val="single" w:sz="8" w:space="0" w:color="auto"/>
              <w:left w:val="single" w:sz="8" w:space="0" w:color="auto"/>
              <w:bottom w:val="single" w:sz="8" w:space="0" w:color="auto"/>
              <w:right w:val="nil"/>
            </w:tcBorders>
            <w:vAlign w:val="center"/>
          </w:tcPr>
          <w:p w:rsidR="002B6500" w:rsidRPr="00B072A4" w:rsidRDefault="002B6500" w:rsidP="002B6500">
            <w:pPr>
              <w:rPr>
                <w:rFonts w:ascii="Verdana" w:hAnsi="Verdana" w:cs="Verdana"/>
                <w:lang w:val="en-GB"/>
              </w:rPr>
            </w:pPr>
            <w:r w:rsidRPr="00B072A4">
              <w:rPr>
                <w:rFonts w:ascii="Verdana" w:hAnsi="Verdana" w:cs="Verdana"/>
                <w:sz w:val="22"/>
                <w:szCs w:val="22"/>
                <w:lang w:val="en-GB"/>
              </w:rPr>
              <w:t>Households in fuel poverty (2011)</w:t>
            </w:r>
          </w:p>
        </w:tc>
        <w:tc>
          <w:tcPr>
            <w:tcW w:w="2409" w:type="dxa"/>
            <w:tcBorders>
              <w:top w:val="single" w:sz="8" w:space="0" w:color="auto"/>
              <w:left w:val="single" w:sz="8" w:space="0" w:color="auto"/>
              <w:bottom w:val="single" w:sz="8" w:space="0" w:color="auto"/>
              <w:right w:val="nil"/>
            </w:tcBorders>
            <w:vAlign w:val="center"/>
          </w:tcPr>
          <w:p w:rsidR="002B6500" w:rsidRPr="00B072A4" w:rsidRDefault="004D27EE" w:rsidP="002B6500">
            <w:pPr>
              <w:jc w:val="right"/>
              <w:rPr>
                <w:rFonts w:ascii="Verdana" w:hAnsi="Verdana" w:cs="Verdana"/>
                <w:sz w:val="22"/>
                <w:szCs w:val="22"/>
                <w:lang w:val="en-GB"/>
              </w:rPr>
            </w:pPr>
            <w:r>
              <w:rPr>
                <w:rFonts w:ascii="Verdana" w:hAnsi="Verdana" w:cs="Verdana"/>
                <w:sz w:val="22"/>
                <w:szCs w:val="22"/>
                <w:lang w:val="en-GB"/>
              </w:rPr>
              <w:t>10.2</w:t>
            </w:r>
          </w:p>
        </w:tc>
        <w:tc>
          <w:tcPr>
            <w:tcW w:w="2835" w:type="dxa"/>
            <w:tcBorders>
              <w:top w:val="single" w:sz="8" w:space="0" w:color="auto"/>
              <w:left w:val="single" w:sz="8" w:space="0" w:color="auto"/>
              <w:bottom w:val="single" w:sz="8" w:space="0" w:color="auto"/>
              <w:right w:val="single" w:sz="8" w:space="0" w:color="auto"/>
            </w:tcBorders>
            <w:vAlign w:val="center"/>
          </w:tcPr>
          <w:p w:rsidR="002B6500" w:rsidRPr="00B072A4" w:rsidRDefault="002B6500" w:rsidP="002B6500">
            <w:pPr>
              <w:jc w:val="right"/>
              <w:rPr>
                <w:rFonts w:ascii="Verdana" w:hAnsi="Verdana" w:cs="Verdana"/>
                <w:sz w:val="22"/>
                <w:szCs w:val="22"/>
                <w:lang w:val="en-GB"/>
              </w:rPr>
            </w:pPr>
            <w:r w:rsidRPr="00B072A4">
              <w:rPr>
                <w:rFonts w:ascii="Verdana" w:hAnsi="Verdana" w:cs="Verdana"/>
                <w:sz w:val="22"/>
                <w:szCs w:val="22"/>
                <w:lang w:val="en-GB"/>
              </w:rPr>
              <w:t>11.3</w:t>
            </w:r>
          </w:p>
        </w:tc>
      </w:tr>
    </w:tbl>
    <w:p w:rsidR="002B6500" w:rsidRPr="00B072A4" w:rsidRDefault="002B6500" w:rsidP="002B6500">
      <w:pPr>
        <w:rPr>
          <w:rFonts w:ascii="Verdana" w:hAnsi="Verdana" w:cs="Verdana"/>
          <w:b/>
          <w:bCs/>
          <w:sz w:val="22"/>
          <w:szCs w:val="22"/>
          <w:lang w:val="en-GB"/>
        </w:rPr>
      </w:pPr>
    </w:p>
    <w:p w:rsidR="004D27EE" w:rsidRPr="001406A1" w:rsidRDefault="004D27EE" w:rsidP="002B6500">
      <w:pPr>
        <w:rPr>
          <w:rFonts w:ascii="Verdana" w:hAnsi="Verdana" w:cs="Verdana"/>
          <w:szCs w:val="22"/>
          <w:lang w:val="en-GB"/>
        </w:rPr>
      </w:pPr>
      <w:r w:rsidRPr="001406A1">
        <w:rPr>
          <w:rFonts w:ascii="Verdana" w:hAnsi="Verdana" w:cs="Verdana"/>
          <w:szCs w:val="22"/>
          <w:lang w:val="en-GB"/>
        </w:rPr>
        <w:t xml:space="preserve">The highest levels of non-decent homes (that do not pass the housing health and safety rating system) are found in smaller rural communities, particularly those in more isolated areas.  This is often due to the age of properties, with older housing (more common in rural areas) most likely to be in this condition.  </w:t>
      </w:r>
    </w:p>
    <w:p w:rsidR="004D27EE" w:rsidRPr="001406A1" w:rsidRDefault="004D27EE" w:rsidP="002B6500">
      <w:pPr>
        <w:rPr>
          <w:rFonts w:ascii="Verdana" w:hAnsi="Verdana" w:cs="Verdana"/>
          <w:szCs w:val="22"/>
          <w:lang w:val="en-GB"/>
        </w:rPr>
      </w:pPr>
    </w:p>
    <w:p w:rsidR="002B6500" w:rsidRPr="001406A1" w:rsidRDefault="000521C8" w:rsidP="002B6500">
      <w:pPr>
        <w:rPr>
          <w:rFonts w:ascii="Verdana" w:hAnsi="Verdana" w:cs="Verdana"/>
          <w:szCs w:val="22"/>
          <w:lang w:val="en-GB"/>
        </w:rPr>
      </w:pPr>
      <w:r w:rsidRPr="001406A1">
        <w:rPr>
          <w:rFonts w:ascii="Verdana" w:hAnsi="Verdana" w:cs="Verdana"/>
          <w:szCs w:val="22"/>
          <w:lang w:val="en-GB"/>
        </w:rPr>
        <w:t xml:space="preserve">Overcrowded housing can highlight areas with pressing needs for more affordable housing, and overcrowding counts as a housing need for households applying to join the Housing Register.  In 2011 there were 20 households in Oakley classified as being overcrowded (figures are rounded), which works out as lower than the Bedford Borough average.   </w:t>
      </w:r>
    </w:p>
    <w:p w:rsidR="002B6500" w:rsidRPr="001406A1" w:rsidRDefault="002B6500" w:rsidP="002B6500">
      <w:pPr>
        <w:rPr>
          <w:rFonts w:ascii="Verdana" w:hAnsi="Verdana" w:cs="Verdana"/>
          <w:szCs w:val="22"/>
          <w:lang w:val="en-GB"/>
        </w:rPr>
      </w:pPr>
    </w:p>
    <w:p w:rsidR="002B6500" w:rsidRPr="001406A1" w:rsidRDefault="002B6500" w:rsidP="002B6500">
      <w:pPr>
        <w:rPr>
          <w:rFonts w:ascii="Verdana" w:hAnsi="Verdana" w:cs="Verdana"/>
          <w:szCs w:val="22"/>
          <w:lang w:val="en-GB"/>
        </w:rPr>
      </w:pPr>
      <w:r w:rsidRPr="001406A1">
        <w:rPr>
          <w:rFonts w:ascii="Verdana" w:hAnsi="Verdana" w:cs="Verdana"/>
          <w:szCs w:val="22"/>
          <w:lang w:val="en-GB"/>
        </w:rPr>
        <w:t>Where central heating is not present, fuel poverty is statistically significantly more likely.</w:t>
      </w:r>
      <w:r w:rsidR="000521C8" w:rsidRPr="001406A1">
        <w:rPr>
          <w:rFonts w:ascii="Verdana" w:hAnsi="Verdana" w:cs="Verdana"/>
          <w:szCs w:val="22"/>
          <w:lang w:val="en-GB"/>
        </w:rPr>
        <w:t xml:space="preserve"> 10 households had no central heating, working out at below the average for Bedford Borough</w:t>
      </w:r>
      <w:r w:rsidR="00643354" w:rsidRPr="001406A1">
        <w:rPr>
          <w:rFonts w:ascii="Verdana" w:hAnsi="Verdana" w:cs="Verdana"/>
          <w:szCs w:val="22"/>
          <w:lang w:val="en-GB"/>
        </w:rPr>
        <w:t>.</w:t>
      </w:r>
    </w:p>
    <w:p w:rsidR="002B6500" w:rsidRPr="00B072A4" w:rsidRDefault="002B6500" w:rsidP="002B6500">
      <w:pPr>
        <w:rPr>
          <w:rFonts w:ascii="Verdana" w:hAnsi="Verdana" w:cs="Verdana"/>
          <w:b/>
          <w:bCs/>
          <w:sz w:val="22"/>
          <w:szCs w:val="22"/>
          <w:lang w:val="en-GB"/>
        </w:rPr>
      </w:pPr>
    </w:p>
    <w:p w:rsidR="002B6500" w:rsidRPr="00B072A4" w:rsidRDefault="002B6500" w:rsidP="002B6500">
      <w:pPr>
        <w:rPr>
          <w:rFonts w:ascii="Verdana" w:hAnsi="Verdana" w:cs="Verdana"/>
          <w:b/>
          <w:bCs/>
          <w:sz w:val="22"/>
          <w:szCs w:val="22"/>
          <w:lang w:val="en-GB"/>
        </w:rPr>
      </w:pPr>
      <w:r w:rsidRPr="00B072A4">
        <w:rPr>
          <w:rFonts w:ascii="Verdana" w:hAnsi="Verdana" w:cs="Verdana"/>
          <w:b/>
          <w:bCs/>
          <w:sz w:val="22"/>
          <w:szCs w:val="22"/>
          <w:lang w:val="en-GB"/>
        </w:rPr>
        <w:t>2.6</w:t>
      </w:r>
      <w:r w:rsidRPr="00B072A4">
        <w:rPr>
          <w:rFonts w:ascii="Verdana" w:hAnsi="Verdana" w:cs="Verdana"/>
          <w:b/>
          <w:bCs/>
          <w:sz w:val="22"/>
          <w:szCs w:val="22"/>
          <w:lang w:val="en-GB"/>
        </w:rPr>
        <w:tab/>
        <w:t xml:space="preserve">People on low incomes </w:t>
      </w:r>
    </w:p>
    <w:p w:rsidR="002B6500" w:rsidRPr="00B072A4" w:rsidRDefault="002B6500" w:rsidP="002B6500">
      <w:pPr>
        <w:rPr>
          <w:rFonts w:ascii="Verdana" w:hAnsi="Verdana" w:cs="Verdana"/>
          <w:b/>
          <w:bCs/>
          <w:sz w:val="22"/>
          <w:szCs w:val="22"/>
          <w:lang w:val="en-GB"/>
        </w:rPr>
      </w:pPr>
    </w:p>
    <w:p w:rsidR="0024583B" w:rsidRPr="001406A1" w:rsidRDefault="000521C8" w:rsidP="002B6500">
      <w:pPr>
        <w:rPr>
          <w:rFonts w:ascii="Verdana" w:hAnsi="Verdana" w:cs="Verdana"/>
          <w:szCs w:val="22"/>
          <w:lang w:val="en-GB"/>
        </w:rPr>
      </w:pPr>
      <w:r w:rsidRPr="001406A1">
        <w:rPr>
          <w:rFonts w:ascii="Verdana" w:hAnsi="Verdana" w:cs="Verdana"/>
          <w:szCs w:val="22"/>
          <w:lang w:val="en-GB"/>
        </w:rPr>
        <w:t>3.5</w:t>
      </w:r>
      <w:r w:rsidR="00E56565" w:rsidRPr="001406A1">
        <w:rPr>
          <w:rFonts w:ascii="Verdana" w:hAnsi="Verdana" w:cs="Verdana"/>
          <w:szCs w:val="22"/>
          <w:lang w:val="en-GB"/>
        </w:rPr>
        <w:t>% of</w:t>
      </w:r>
      <w:r w:rsidRPr="001406A1">
        <w:rPr>
          <w:rFonts w:ascii="Verdana" w:hAnsi="Verdana" w:cs="Verdana"/>
          <w:szCs w:val="22"/>
          <w:lang w:val="en-GB"/>
        </w:rPr>
        <w:t xml:space="preserve"> all</w:t>
      </w:r>
      <w:r w:rsidR="00E56565" w:rsidRPr="001406A1">
        <w:rPr>
          <w:rFonts w:ascii="Verdana" w:hAnsi="Verdana" w:cs="Verdana"/>
          <w:szCs w:val="22"/>
          <w:lang w:val="en-GB"/>
        </w:rPr>
        <w:t xml:space="preserve"> people in </w:t>
      </w:r>
      <w:r w:rsidRPr="001406A1">
        <w:rPr>
          <w:rFonts w:ascii="Verdana" w:hAnsi="Verdana" w:cs="Verdana"/>
          <w:szCs w:val="22"/>
          <w:lang w:val="en-GB"/>
        </w:rPr>
        <w:t xml:space="preserve">Oakley </w:t>
      </w:r>
      <w:r w:rsidR="002B6500" w:rsidRPr="001406A1">
        <w:rPr>
          <w:rFonts w:ascii="Verdana" w:hAnsi="Verdana" w:cs="Verdana"/>
          <w:szCs w:val="22"/>
          <w:lang w:val="en-GB"/>
        </w:rPr>
        <w:t xml:space="preserve">are classified as “experiencing income deprivation”, well under the Bedford Borough average of 12.1%. </w:t>
      </w:r>
      <w:r w:rsidR="009B107F" w:rsidRPr="001406A1">
        <w:rPr>
          <w:rFonts w:ascii="Verdana" w:hAnsi="Verdana" w:cs="Verdana"/>
          <w:szCs w:val="22"/>
          <w:lang w:val="en-GB"/>
        </w:rPr>
        <w:t>In 2007/08</w:t>
      </w:r>
      <w:r w:rsidR="0024583B" w:rsidRPr="001406A1">
        <w:rPr>
          <w:rFonts w:ascii="Verdana" w:hAnsi="Verdana" w:cs="Verdana"/>
          <w:szCs w:val="22"/>
          <w:lang w:val="en-GB"/>
        </w:rPr>
        <w:t>, 15% of households were calculated as receiving below 60% of the median income, below the Bedford Borough average of 20%</w:t>
      </w:r>
      <w:r w:rsidR="004430A8" w:rsidRPr="001406A1">
        <w:rPr>
          <w:rFonts w:ascii="Verdana" w:hAnsi="Verdana" w:cs="Verdana"/>
          <w:szCs w:val="22"/>
          <w:lang w:val="en-GB"/>
        </w:rPr>
        <w:t>.</w:t>
      </w:r>
    </w:p>
    <w:p w:rsidR="0024583B" w:rsidRPr="001406A1" w:rsidRDefault="0024583B" w:rsidP="002B6500">
      <w:pPr>
        <w:rPr>
          <w:rFonts w:ascii="Verdana" w:hAnsi="Verdana" w:cs="Verdana"/>
          <w:szCs w:val="22"/>
          <w:lang w:val="en-GB"/>
        </w:rPr>
      </w:pPr>
    </w:p>
    <w:p w:rsidR="002B6500" w:rsidRPr="001406A1" w:rsidRDefault="000521C8" w:rsidP="002B6500">
      <w:pPr>
        <w:rPr>
          <w:rFonts w:ascii="Verdana" w:hAnsi="Verdana" w:cs="Verdana"/>
          <w:szCs w:val="22"/>
          <w:lang w:val="en-GB"/>
        </w:rPr>
      </w:pPr>
      <w:r w:rsidRPr="001406A1">
        <w:rPr>
          <w:rFonts w:ascii="Verdana" w:hAnsi="Verdana" w:cs="Verdana"/>
          <w:szCs w:val="22"/>
          <w:lang w:val="en-GB"/>
        </w:rPr>
        <w:lastRenderedPageBreak/>
        <w:t>5</w:t>
      </w:r>
      <w:r w:rsidR="002B6500" w:rsidRPr="001406A1">
        <w:rPr>
          <w:rFonts w:ascii="Verdana" w:hAnsi="Verdana" w:cs="Verdana"/>
          <w:szCs w:val="22"/>
          <w:lang w:val="en-GB"/>
        </w:rPr>
        <w:t>.</w:t>
      </w:r>
      <w:r w:rsidR="00E56565" w:rsidRPr="001406A1">
        <w:rPr>
          <w:rFonts w:ascii="Verdana" w:hAnsi="Verdana" w:cs="Verdana"/>
          <w:szCs w:val="22"/>
          <w:lang w:val="en-GB"/>
        </w:rPr>
        <w:t>5</w:t>
      </w:r>
      <w:r w:rsidR="002B6500" w:rsidRPr="001406A1">
        <w:rPr>
          <w:rFonts w:ascii="Verdana" w:hAnsi="Verdana" w:cs="Verdana"/>
          <w:szCs w:val="22"/>
          <w:lang w:val="en-GB"/>
        </w:rPr>
        <w:t>% of working age people were claiming DWP benefits in August 2012, below the Bedford B</w:t>
      </w:r>
      <w:r w:rsidR="00E56565" w:rsidRPr="001406A1">
        <w:rPr>
          <w:rFonts w:ascii="Verdana" w:hAnsi="Verdana" w:cs="Verdana"/>
          <w:szCs w:val="22"/>
          <w:lang w:val="en-GB"/>
        </w:rPr>
        <w:t xml:space="preserve">orough average of 13.4%; and </w:t>
      </w:r>
      <w:r w:rsidR="00B16EAA" w:rsidRPr="001406A1">
        <w:rPr>
          <w:rFonts w:ascii="Verdana" w:hAnsi="Verdana" w:cs="Verdana"/>
          <w:szCs w:val="22"/>
          <w:lang w:val="en-GB"/>
        </w:rPr>
        <w:t>11.3</w:t>
      </w:r>
      <w:r w:rsidR="002B6500" w:rsidRPr="001406A1">
        <w:rPr>
          <w:rFonts w:ascii="Verdana" w:hAnsi="Verdana" w:cs="Verdana"/>
          <w:szCs w:val="22"/>
          <w:lang w:val="en-GB"/>
        </w:rPr>
        <w:t xml:space="preserve">% of people over 65 were claiming pension credit, </w:t>
      </w:r>
      <w:r w:rsidR="00B16EAA" w:rsidRPr="001406A1">
        <w:rPr>
          <w:rFonts w:ascii="Verdana" w:hAnsi="Verdana" w:cs="Verdana"/>
          <w:szCs w:val="22"/>
          <w:lang w:val="en-GB"/>
        </w:rPr>
        <w:t>below</w:t>
      </w:r>
      <w:r w:rsidR="002B6500" w:rsidRPr="001406A1">
        <w:rPr>
          <w:rFonts w:ascii="Verdana" w:hAnsi="Verdana" w:cs="Verdana"/>
          <w:szCs w:val="22"/>
          <w:lang w:val="en-GB"/>
        </w:rPr>
        <w:t xml:space="preserve"> the Bedford Borough average of 21.0%.</w:t>
      </w:r>
    </w:p>
    <w:p w:rsidR="0024583B" w:rsidRDefault="0024583B" w:rsidP="002B6500">
      <w:pPr>
        <w:rPr>
          <w:rFonts w:ascii="Verdana" w:hAnsi="Verdana" w:cs="Verdana"/>
          <w:sz w:val="22"/>
          <w:szCs w:val="22"/>
          <w:lang w:val="en-GB"/>
        </w:rPr>
      </w:pPr>
    </w:p>
    <w:p w:rsidR="0024583B" w:rsidRPr="00AB61B6" w:rsidRDefault="0024583B" w:rsidP="002B6500">
      <w:pPr>
        <w:rPr>
          <w:rFonts w:ascii="Verdana" w:hAnsi="Verdana" w:cs="Verdana"/>
          <w:b/>
          <w:sz w:val="22"/>
          <w:szCs w:val="22"/>
          <w:lang w:val="en-GB"/>
        </w:rPr>
      </w:pPr>
      <w:r w:rsidRPr="00AB61B6">
        <w:rPr>
          <w:rFonts w:ascii="Verdana" w:hAnsi="Verdana" w:cs="Verdana"/>
          <w:b/>
          <w:sz w:val="22"/>
          <w:szCs w:val="22"/>
          <w:lang w:val="en-GB"/>
        </w:rPr>
        <w:t>2.7 Households on Bedford Borough Council Housing Register</w:t>
      </w:r>
    </w:p>
    <w:p w:rsidR="0024583B" w:rsidRPr="00AB61B6" w:rsidRDefault="0024583B" w:rsidP="002B6500">
      <w:pPr>
        <w:rPr>
          <w:rFonts w:ascii="Verdana" w:hAnsi="Verdana" w:cs="Verdana"/>
          <w:sz w:val="22"/>
          <w:szCs w:val="22"/>
          <w:lang w:val="en-GB"/>
        </w:rPr>
      </w:pPr>
    </w:p>
    <w:p w:rsidR="00AB61B6" w:rsidRPr="007C1B71" w:rsidRDefault="00AB61B6" w:rsidP="002B6500">
      <w:pPr>
        <w:rPr>
          <w:rFonts w:ascii="Verdana" w:hAnsi="Verdana" w:cs="Verdana"/>
          <w:szCs w:val="22"/>
          <w:lang w:val="en-GB"/>
        </w:rPr>
      </w:pPr>
      <w:r w:rsidRPr="007C1B71">
        <w:rPr>
          <w:rFonts w:ascii="Verdana" w:hAnsi="Verdana" w:cs="Verdana"/>
          <w:szCs w:val="22"/>
          <w:lang w:val="en-GB"/>
        </w:rPr>
        <w:t xml:space="preserve">There are currently </w:t>
      </w:r>
      <w:r w:rsidR="0084136B" w:rsidRPr="007C1B71">
        <w:rPr>
          <w:rFonts w:ascii="Verdana" w:hAnsi="Verdana" w:cs="Verdana"/>
          <w:szCs w:val="22"/>
          <w:lang w:val="en-GB"/>
        </w:rPr>
        <w:t>3</w:t>
      </w:r>
      <w:r w:rsidR="0024583B" w:rsidRPr="007C1B71">
        <w:rPr>
          <w:rFonts w:ascii="Verdana" w:hAnsi="Verdana" w:cs="Verdana"/>
          <w:szCs w:val="22"/>
          <w:lang w:val="en-GB"/>
        </w:rPr>
        <w:t xml:space="preserve"> </w:t>
      </w:r>
      <w:r w:rsidRPr="007C1B71">
        <w:rPr>
          <w:rFonts w:ascii="Verdana" w:hAnsi="Verdana" w:cs="Verdana"/>
          <w:szCs w:val="22"/>
          <w:lang w:val="en-GB"/>
        </w:rPr>
        <w:t>Oakley</w:t>
      </w:r>
      <w:r w:rsidR="0024583B" w:rsidRPr="007C1B71">
        <w:rPr>
          <w:rFonts w:ascii="Verdana" w:hAnsi="Verdana" w:cs="Verdana"/>
          <w:szCs w:val="22"/>
          <w:lang w:val="en-GB"/>
        </w:rPr>
        <w:t xml:space="preserve"> households on the Bedford Borough Council Housing Register.</w:t>
      </w:r>
      <w:r w:rsidR="0084136B" w:rsidRPr="007C1B71">
        <w:rPr>
          <w:rFonts w:ascii="Verdana" w:hAnsi="Verdana" w:cs="Verdana"/>
          <w:szCs w:val="22"/>
          <w:lang w:val="en-GB"/>
        </w:rPr>
        <w:t xml:space="preserve"> Households on the housing register are allocated a band based on the priority level which they need to be allocated new housing.  Bands A to D are the main priority bands, with A being the highest priory.  There is also a separate band</w:t>
      </w:r>
      <w:r w:rsidR="008A30A8" w:rsidRPr="007C1B71">
        <w:rPr>
          <w:rFonts w:ascii="Verdana" w:hAnsi="Verdana" w:cs="Verdana"/>
          <w:szCs w:val="22"/>
          <w:lang w:val="en-GB"/>
        </w:rPr>
        <w:t xml:space="preserve"> for sheltered housing applicants only.</w:t>
      </w:r>
      <w:r w:rsidR="0084136B" w:rsidRPr="007C1B71">
        <w:rPr>
          <w:rFonts w:ascii="Verdana" w:hAnsi="Verdana" w:cs="Verdana"/>
          <w:szCs w:val="22"/>
          <w:lang w:val="en-GB"/>
        </w:rPr>
        <w:t xml:space="preserve"> </w:t>
      </w:r>
      <w:r w:rsidR="0024583B" w:rsidRPr="007C1B71">
        <w:rPr>
          <w:rFonts w:ascii="Verdana" w:hAnsi="Verdana" w:cs="Verdana"/>
          <w:szCs w:val="22"/>
          <w:lang w:val="en-GB"/>
        </w:rPr>
        <w:t xml:space="preserve">  </w:t>
      </w:r>
      <w:r w:rsidRPr="007C1B71">
        <w:rPr>
          <w:rFonts w:ascii="Verdana" w:hAnsi="Verdana" w:cs="Verdana"/>
          <w:szCs w:val="22"/>
          <w:lang w:val="en-GB"/>
        </w:rPr>
        <w:t xml:space="preserve">All 3 of the households </w:t>
      </w:r>
      <w:r w:rsidR="008A30A8" w:rsidRPr="007C1B71">
        <w:rPr>
          <w:rFonts w:ascii="Verdana" w:hAnsi="Verdana" w:cs="Verdana"/>
          <w:szCs w:val="22"/>
          <w:lang w:val="en-GB"/>
        </w:rPr>
        <w:t>on the register</w:t>
      </w:r>
      <w:r w:rsidRPr="007C1B71">
        <w:rPr>
          <w:rFonts w:ascii="Verdana" w:hAnsi="Verdana" w:cs="Verdana"/>
          <w:szCs w:val="22"/>
          <w:lang w:val="en-GB"/>
        </w:rPr>
        <w:t xml:space="preserve"> were in Band C</w:t>
      </w:r>
      <w:r w:rsidR="0084136B" w:rsidRPr="007C1B71">
        <w:rPr>
          <w:rFonts w:ascii="Verdana" w:hAnsi="Verdana" w:cs="Verdana"/>
          <w:szCs w:val="22"/>
          <w:lang w:val="en-GB"/>
        </w:rPr>
        <w:t xml:space="preserve"> and were requiring </w:t>
      </w:r>
      <w:r w:rsidRPr="007C1B71">
        <w:rPr>
          <w:rFonts w:ascii="Verdana" w:hAnsi="Verdana" w:cs="Verdana"/>
          <w:szCs w:val="22"/>
          <w:lang w:val="en-GB"/>
        </w:rPr>
        <w:t>properties with</w:t>
      </w:r>
      <w:r w:rsidR="0084136B" w:rsidRPr="007C1B71">
        <w:rPr>
          <w:rFonts w:ascii="Verdana" w:hAnsi="Verdana" w:cs="Verdana"/>
          <w:szCs w:val="22"/>
          <w:lang w:val="en-GB"/>
        </w:rPr>
        <w:t xml:space="preserve"> </w:t>
      </w:r>
      <w:r w:rsidRPr="007C1B71">
        <w:rPr>
          <w:rFonts w:ascii="Verdana" w:hAnsi="Verdana" w:cs="Verdana"/>
          <w:szCs w:val="22"/>
          <w:lang w:val="en-GB"/>
        </w:rPr>
        <w:t>1, 2 and 3</w:t>
      </w:r>
      <w:r w:rsidR="0084136B" w:rsidRPr="007C1B71">
        <w:rPr>
          <w:rFonts w:ascii="Verdana" w:hAnsi="Verdana" w:cs="Verdana"/>
          <w:szCs w:val="22"/>
          <w:lang w:val="en-GB"/>
        </w:rPr>
        <w:t xml:space="preserve"> bedroom</w:t>
      </w:r>
      <w:r w:rsidRPr="007C1B71">
        <w:rPr>
          <w:rFonts w:ascii="Verdana" w:hAnsi="Verdana" w:cs="Verdana"/>
          <w:szCs w:val="22"/>
          <w:lang w:val="en-GB"/>
        </w:rPr>
        <w:t>s</w:t>
      </w:r>
      <w:r w:rsidR="0084136B" w:rsidRPr="007C1B71">
        <w:rPr>
          <w:rFonts w:ascii="Verdana" w:hAnsi="Verdana" w:cs="Verdana"/>
          <w:szCs w:val="22"/>
          <w:lang w:val="en-GB"/>
        </w:rPr>
        <w:t xml:space="preserve">.  </w:t>
      </w:r>
    </w:p>
    <w:p w:rsidR="0024583B" w:rsidRPr="007C1B71" w:rsidRDefault="0084136B" w:rsidP="002B6500">
      <w:pPr>
        <w:rPr>
          <w:rFonts w:ascii="Verdana" w:hAnsi="Verdana" w:cs="Verdana"/>
          <w:szCs w:val="22"/>
          <w:lang w:val="en-GB"/>
        </w:rPr>
      </w:pPr>
      <w:r w:rsidRPr="007C1B71">
        <w:rPr>
          <w:rFonts w:ascii="Verdana" w:hAnsi="Verdana" w:cs="Verdana"/>
          <w:szCs w:val="22"/>
          <w:lang w:val="en-GB"/>
        </w:rPr>
        <w:t xml:space="preserve">  </w:t>
      </w:r>
    </w:p>
    <w:p w:rsidR="0024583B" w:rsidRPr="007C1B71" w:rsidRDefault="0024583B" w:rsidP="002B6500">
      <w:pPr>
        <w:rPr>
          <w:rFonts w:ascii="Verdana" w:hAnsi="Verdana" w:cs="Verdana"/>
          <w:szCs w:val="22"/>
          <w:lang w:val="en-GB"/>
        </w:rPr>
      </w:pPr>
      <w:r w:rsidRPr="007C1B71">
        <w:rPr>
          <w:rFonts w:ascii="Verdana" w:hAnsi="Verdana" w:cs="Verdana"/>
          <w:szCs w:val="22"/>
          <w:lang w:val="en-GB"/>
        </w:rPr>
        <w:t xml:space="preserve">It should be noted that the difficulty of securing affordable housing, particularly in villages, can act as a significant deterrent to people in housing need from placing themselves on the register; so this figure does not therefore necessarily represent the true number of residents in housing need.  </w:t>
      </w:r>
    </w:p>
    <w:p w:rsidR="0024583B" w:rsidRPr="007C1B71" w:rsidRDefault="0024583B" w:rsidP="002B6500">
      <w:pPr>
        <w:rPr>
          <w:rFonts w:ascii="Verdana" w:hAnsi="Verdana" w:cs="Verdana"/>
          <w:szCs w:val="22"/>
          <w:lang w:val="en-GB"/>
        </w:rPr>
      </w:pPr>
    </w:p>
    <w:p w:rsidR="0024583B" w:rsidRPr="007C1B71" w:rsidRDefault="0024583B" w:rsidP="002B6500">
      <w:pPr>
        <w:rPr>
          <w:rFonts w:ascii="Verdana" w:hAnsi="Verdana" w:cs="Verdana"/>
          <w:szCs w:val="22"/>
          <w:lang w:val="en-GB"/>
        </w:rPr>
      </w:pPr>
      <w:r w:rsidRPr="007C1B71">
        <w:rPr>
          <w:rFonts w:ascii="Verdana" w:hAnsi="Verdana" w:cs="Verdana"/>
          <w:szCs w:val="22"/>
          <w:lang w:val="en-GB"/>
        </w:rPr>
        <w:t>Applicants to the register are no longer asked where they would prefer to live, so it is not possible to know whether the above household</w:t>
      </w:r>
      <w:r w:rsidR="00416D52" w:rsidRPr="007C1B71">
        <w:rPr>
          <w:rFonts w:ascii="Verdana" w:hAnsi="Verdana" w:cs="Verdana"/>
          <w:szCs w:val="22"/>
          <w:lang w:val="en-GB"/>
        </w:rPr>
        <w:t>s</w:t>
      </w:r>
      <w:r w:rsidRPr="007C1B71">
        <w:rPr>
          <w:rFonts w:ascii="Verdana" w:hAnsi="Verdana" w:cs="Verdana"/>
          <w:szCs w:val="22"/>
          <w:lang w:val="en-GB"/>
        </w:rPr>
        <w:t xml:space="preserve"> would wish to remain in </w:t>
      </w:r>
      <w:r w:rsidR="00AB61B6" w:rsidRPr="007C1B71">
        <w:rPr>
          <w:rFonts w:ascii="Verdana" w:hAnsi="Verdana" w:cs="Verdana"/>
          <w:szCs w:val="22"/>
          <w:lang w:val="en-GB"/>
        </w:rPr>
        <w:t>Oakley</w:t>
      </w:r>
      <w:r w:rsidRPr="007C1B71">
        <w:rPr>
          <w:rFonts w:ascii="Verdana" w:hAnsi="Verdana" w:cs="Verdana"/>
          <w:szCs w:val="22"/>
          <w:lang w:val="en-GB"/>
        </w:rPr>
        <w:t xml:space="preserve">. </w:t>
      </w:r>
    </w:p>
    <w:p w:rsidR="002B6500" w:rsidRPr="00B072A4" w:rsidRDefault="002B6500" w:rsidP="002B6500">
      <w:pPr>
        <w:rPr>
          <w:rFonts w:ascii="Verdana" w:hAnsi="Verdana" w:cs="Verdana"/>
          <w:b/>
          <w:bCs/>
          <w:lang w:val="en-GB"/>
        </w:rPr>
      </w:pPr>
    </w:p>
    <w:p w:rsidR="002B6500" w:rsidRPr="00B072A4" w:rsidRDefault="0024583B" w:rsidP="002B6500">
      <w:pPr>
        <w:rPr>
          <w:rFonts w:ascii="Verdana" w:hAnsi="Verdana" w:cs="Verdana"/>
          <w:b/>
          <w:sz w:val="22"/>
          <w:szCs w:val="22"/>
          <w:lang w:val="en-GB"/>
        </w:rPr>
      </w:pPr>
      <w:r>
        <w:rPr>
          <w:rFonts w:ascii="Verdana" w:hAnsi="Verdana" w:cs="Verdana"/>
          <w:b/>
          <w:sz w:val="22"/>
          <w:szCs w:val="22"/>
          <w:lang w:val="en-GB"/>
        </w:rPr>
        <w:t>2.8</w:t>
      </w:r>
      <w:r w:rsidR="002B6500" w:rsidRPr="00B072A4">
        <w:rPr>
          <w:rFonts w:ascii="Verdana" w:hAnsi="Verdana" w:cs="Verdana"/>
          <w:b/>
          <w:sz w:val="22"/>
          <w:szCs w:val="22"/>
          <w:lang w:val="en-GB"/>
        </w:rPr>
        <w:tab/>
        <w:t>Health and disability</w:t>
      </w:r>
    </w:p>
    <w:p w:rsidR="002B6500" w:rsidRPr="00B072A4" w:rsidRDefault="002B6500" w:rsidP="002B6500">
      <w:pPr>
        <w:rPr>
          <w:rFonts w:ascii="Verdana" w:hAnsi="Verdana" w:cs="Verdana"/>
          <w:sz w:val="22"/>
          <w:szCs w:val="22"/>
          <w:lang w:val="en-GB"/>
        </w:rPr>
      </w:pPr>
    </w:p>
    <w:p w:rsidR="002D789A" w:rsidRPr="007C1B71" w:rsidRDefault="002B6500" w:rsidP="002B6500">
      <w:pPr>
        <w:rPr>
          <w:rFonts w:ascii="Verdana" w:hAnsi="Verdana" w:cs="Verdana"/>
          <w:szCs w:val="22"/>
          <w:lang w:val="en-GB"/>
        </w:rPr>
      </w:pPr>
      <w:r w:rsidRPr="007C1B71">
        <w:rPr>
          <w:rFonts w:ascii="Verdana" w:hAnsi="Verdana" w:cs="Verdana"/>
          <w:szCs w:val="22"/>
          <w:lang w:val="en-GB"/>
        </w:rPr>
        <w:t>Limiting illnesses and disabilities can affect the type of housing that people need in order to remain independent.</w:t>
      </w:r>
    </w:p>
    <w:p w:rsidR="002D789A" w:rsidRPr="007C1B71" w:rsidRDefault="002D789A" w:rsidP="002B6500">
      <w:pPr>
        <w:rPr>
          <w:rFonts w:ascii="Verdana" w:hAnsi="Verdana" w:cs="Verdana"/>
          <w:szCs w:val="22"/>
          <w:lang w:val="en-GB"/>
        </w:rPr>
      </w:pPr>
    </w:p>
    <w:p w:rsidR="002B6500" w:rsidRPr="007C1B71" w:rsidRDefault="002D789A" w:rsidP="002B6500">
      <w:pPr>
        <w:rPr>
          <w:rFonts w:ascii="Verdana" w:hAnsi="Verdana" w:cs="Verdana"/>
          <w:szCs w:val="22"/>
          <w:lang w:val="en-GB"/>
        </w:rPr>
      </w:pPr>
      <w:r w:rsidRPr="007C1B71">
        <w:rPr>
          <w:rFonts w:ascii="Verdana" w:hAnsi="Verdana" w:cs="Verdana"/>
          <w:szCs w:val="22"/>
          <w:lang w:val="en-GB"/>
        </w:rPr>
        <w:t>9</w:t>
      </w:r>
      <w:r w:rsidR="002B6500" w:rsidRPr="007C1B71">
        <w:rPr>
          <w:rFonts w:ascii="Verdana" w:hAnsi="Verdana" w:cs="Arial"/>
          <w:color w:val="000000"/>
          <w:szCs w:val="22"/>
          <w:lang w:val="en-GB"/>
        </w:rPr>
        <w:t>% of th</w:t>
      </w:r>
      <w:r w:rsidR="0024583B" w:rsidRPr="007C1B71">
        <w:rPr>
          <w:rFonts w:ascii="Verdana" w:hAnsi="Verdana" w:cs="Arial"/>
          <w:color w:val="000000"/>
          <w:szCs w:val="22"/>
          <w:lang w:val="en-GB"/>
        </w:rPr>
        <w:t xml:space="preserve">ose aged 65 and over in </w:t>
      </w:r>
      <w:r w:rsidRPr="007C1B71">
        <w:rPr>
          <w:rFonts w:ascii="Verdana" w:hAnsi="Verdana" w:cs="Arial"/>
          <w:color w:val="000000"/>
          <w:szCs w:val="22"/>
          <w:lang w:val="en-GB"/>
        </w:rPr>
        <w:t>Oakley</w:t>
      </w:r>
      <w:r w:rsidR="0024583B" w:rsidRPr="007C1B71">
        <w:rPr>
          <w:rFonts w:ascii="Verdana" w:hAnsi="Verdana" w:cs="Arial"/>
          <w:color w:val="000000"/>
          <w:szCs w:val="22"/>
          <w:lang w:val="en-GB"/>
        </w:rPr>
        <w:t xml:space="preserve"> (around </w:t>
      </w:r>
      <w:r w:rsidRPr="007C1B71">
        <w:rPr>
          <w:rFonts w:ascii="Verdana" w:hAnsi="Verdana" w:cs="Arial"/>
          <w:color w:val="000000"/>
          <w:szCs w:val="22"/>
          <w:lang w:val="en-GB"/>
        </w:rPr>
        <w:t>35</w:t>
      </w:r>
      <w:r w:rsidR="0024583B" w:rsidRPr="007C1B71">
        <w:rPr>
          <w:rFonts w:ascii="Verdana" w:hAnsi="Verdana" w:cs="Arial"/>
          <w:color w:val="000000"/>
          <w:szCs w:val="22"/>
          <w:lang w:val="en-GB"/>
        </w:rPr>
        <w:t xml:space="preserve"> people)</w:t>
      </w:r>
      <w:r w:rsidR="002B6500" w:rsidRPr="007C1B71">
        <w:rPr>
          <w:rFonts w:ascii="Verdana" w:hAnsi="Verdana" w:cs="Arial"/>
          <w:color w:val="000000"/>
          <w:szCs w:val="22"/>
          <w:lang w:val="en-GB"/>
        </w:rPr>
        <w:t xml:space="preserve"> are claiming Attendance Allowance (a non-means-tested benefit </w:t>
      </w:r>
      <w:r w:rsidR="002B6500" w:rsidRPr="007C1B71">
        <w:rPr>
          <w:rFonts w:ascii="Verdana" w:hAnsi="Verdana" w:cs="Arial"/>
          <w:szCs w:val="22"/>
          <w:lang w:val="en-GB"/>
        </w:rPr>
        <w:t>for severely disabled people aged 65 or over who need help with personal care</w:t>
      </w:r>
      <w:r w:rsidR="002B6500" w:rsidRPr="007C1B71">
        <w:rPr>
          <w:rFonts w:ascii="Verdana" w:hAnsi="Verdana" w:cs="Arial"/>
          <w:color w:val="000000"/>
          <w:szCs w:val="22"/>
          <w:lang w:val="en-GB"/>
        </w:rPr>
        <w:t>), under the Bedford Borough average of 15.7%. The proportion of the population</w:t>
      </w:r>
      <w:r w:rsidR="00416D52" w:rsidRPr="007C1B71">
        <w:rPr>
          <w:rFonts w:ascii="Verdana" w:hAnsi="Verdana" w:cs="Arial"/>
          <w:color w:val="000000"/>
          <w:szCs w:val="22"/>
          <w:lang w:val="en-GB"/>
        </w:rPr>
        <w:t xml:space="preserve"> in </w:t>
      </w:r>
      <w:r w:rsidRPr="007C1B71">
        <w:rPr>
          <w:rFonts w:ascii="Verdana" w:hAnsi="Verdana" w:cs="Arial"/>
          <w:color w:val="000000"/>
          <w:szCs w:val="22"/>
          <w:lang w:val="en-GB"/>
        </w:rPr>
        <w:t>Oakley</w:t>
      </w:r>
      <w:r w:rsidR="002B6500" w:rsidRPr="007C1B71">
        <w:rPr>
          <w:rFonts w:ascii="Verdana" w:hAnsi="Verdana" w:cs="Arial"/>
          <w:color w:val="000000"/>
          <w:szCs w:val="22"/>
          <w:lang w:val="en-GB"/>
        </w:rPr>
        <w:t xml:space="preserve"> claiming Disability Living Allowance is </w:t>
      </w:r>
      <w:r w:rsidRPr="007C1B71">
        <w:rPr>
          <w:rFonts w:ascii="Verdana" w:hAnsi="Verdana" w:cs="Arial"/>
          <w:color w:val="000000"/>
          <w:szCs w:val="22"/>
          <w:lang w:val="en-GB"/>
        </w:rPr>
        <w:t>2.4</w:t>
      </w:r>
      <w:r w:rsidR="002B6500" w:rsidRPr="007C1B71">
        <w:rPr>
          <w:rFonts w:ascii="Verdana" w:hAnsi="Verdana" w:cs="Arial"/>
          <w:color w:val="000000"/>
          <w:szCs w:val="22"/>
          <w:lang w:val="en-GB"/>
        </w:rPr>
        <w:t>%, under the Bedford Borough average of 4.2%.</w:t>
      </w:r>
    </w:p>
    <w:p w:rsidR="002B6500" w:rsidRPr="007C1B71" w:rsidRDefault="002B6500" w:rsidP="002B6500">
      <w:pPr>
        <w:rPr>
          <w:rFonts w:ascii="Verdana" w:hAnsi="Verdana" w:cs="Arial"/>
          <w:color w:val="000000"/>
          <w:szCs w:val="22"/>
          <w:lang w:val="en-GB"/>
        </w:rPr>
      </w:pPr>
    </w:p>
    <w:p w:rsidR="0005616B" w:rsidRDefault="002D789A" w:rsidP="0052597E">
      <w:pPr>
        <w:rPr>
          <w:rFonts w:ascii="Verdana" w:hAnsi="Verdana" w:cs="Verdana"/>
          <w:b/>
          <w:bCs/>
          <w:lang w:val="en-GB"/>
        </w:rPr>
      </w:pPr>
      <w:r w:rsidRPr="007C1B71">
        <w:rPr>
          <w:rFonts w:ascii="Verdana" w:hAnsi="Verdana" w:cs="Arial"/>
          <w:color w:val="000000"/>
          <w:szCs w:val="22"/>
          <w:lang w:val="en-GB"/>
        </w:rPr>
        <w:t>12</w:t>
      </w:r>
      <w:r w:rsidR="002B6500" w:rsidRPr="007C1B71">
        <w:rPr>
          <w:rFonts w:ascii="Verdana" w:hAnsi="Verdana" w:cs="Arial"/>
          <w:color w:val="000000"/>
          <w:szCs w:val="22"/>
          <w:lang w:val="en-GB"/>
        </w:rPr>
        <w:t>.</w:t>
      </w:r>
      <w:r w:rsidR="0024583B" w:rsidRPr="007C1B71">
        <w:rPr>
          <w:rFonts w:ascii="Verdana" w:hAnsi="Verdana" w:cs="Arial"/>
          <w:color w:val="000000"/>
          <w:szCs w:val="22"/>
          <w:lang w:val="en-GB"/>
        </w:rPr>
        <w:t>5</w:t>
      </w:r>
      <w:r w:rsidR="002B6500" w:rsidRPr="007C1B71">
        <w:rPr>
          <w:rFonts w:ascii="Verdana" w:hAnsi="Verdana" w:cs="Arial"/>
          <w:color w:val="000000"/>
          <w:szCs w:val="22"/>
          <w:lang w:val="en-GB"/>
        </w:rPr>
        <w:t>% of people have a limiti</w:t>
      </w:r>
      <w:r w:rsidR="0024583B" w:rsidRPr="007C1B71">
        <w:rPr>
          <w:rFonts w:ascii="Verdana" w:hAnsi="Verdana" w:cs="Arial"/>
          <w:color w:val="000000"/>
          <w:szCs w:val="22"/>
          <w:lang w:val="en-GB"/>
        </w:rPr>
        <w:t>ng long-term illness,</w:t>
      </w:r>
      <w:r w:rsidR="007517E8" w:rsidRPr="007C1B71">
        <w:rPr>
          <w:rFonts w:ascii="Verdana" w:hAnsi="Verdana" w:cs="Arial"/>
          <w:color w:val="000000"/>
          <w:szCs w:val="22"/>
          <w:lang w:val="en-GB"/>
        </w:rPr>
        <w:t xml:space="preserve"> </w:t>
      </w:r>
      <w:r w:rsidRPr="007C1B71">
        <w:rPr>
          <w:rFonts w:ascii="Verdana" w:hAnsi="Verdana" w:cs="Arial"/>
          <w:color w:val="000000"/>
          <w:szCs w:val="22"/>
          <w:lang w:val="en-GB"/>
        </w:rPr>
        <w:t>under</w:t>
      </w:r>
      <w:r w:rsidR="002B6500" w:rsidRPr="007C1B71">
        <w:rPr>
          <w:rFonts w:ascii="Verdana" w:hAnsi="Verdana" w:cs="Arial"/>
          <w:color w:val="000000"/>
          <w:szCs w:val="22"/>
          <w:lang w:val="en-GB"/>
        </w:rPr>
        <w:t xml:space="preserve"> the Bedford Borough average of 16.0%.</w:t>
      </w:r>
      <w:r w:rsidR="002B6500" w:rsidRPr="00B072A4">
        <w:rPr>
          <w:rFonts w:ascii="Verdana" w:hAnsi="Verdana" w:cs="Verdana"/>
          <w:b/>
          <w:bCs/>
          <w:lang w:val="en-GB"/>
        </w:rPr>
        <w:br w:type="page"/>
      </w:r>
    </w:p>
    <w:p w:rsidR="009D2C89" w:rsidRDefault="0052597E">
      <w:pPr>
        <w:rPr>
          <w:rFonts w:ascii="Verdana" w:hAnsi="Verdana" w:cs="Verdana"/>
          <w:b/>
          <w:bCs/>
          <w:lang w:val="en-GB"/>
        </w:rPr>
      </w:pPr>
      <w:r>
        <w:rPr>
          <w:rFonts w:ascii="Verdana" w:hAnsi="Verdana" w:cs="Verdana"/>
          <w:b/>
          <w:bCs/>
          <w:lang w:val="en-GB"/>
        </w:rPr>
        <w:lastRenderedPageBreak/>
        <w:t>3</w:t>
      </w:r>
      <w:r w:rsidR="009D2C89">
        <w:rPr>
          <w:rFonts w:ascii="Verdana" w:hAnsi="Verdana" w:cs="Verdana"/>
          <w:b/>
          <w:bCs/>
          <w:lang w:val="en-GB"/>
        </w:rPr>
        <w:t>.</w:t>
      </w:r>
      <w:r w:rsidR="009D2C89">
        <w:rPr>
          <w:rFonts w:ascii="Verdana" w:hAnsi="Verdana" w:cs="Verdana"/>
          <w:b/>
          <w:bCs/>
          <w:lang w:val="en-GB"/>
        </w:rPr>
        <w:tab/>
        <w:t xml:space="preserve">Housing Availability and Affordability in </w:t>
      </w:r>
      <w:r w:rsidR="00157AA4">
        <w:rPr>
          <w:rFonts w:ascii="Verdana" w:hAnsi="Verdana" w:cs="Verdana"/>
          <w:b/>
          <w:bCs/>
          <w:lang w:val="en-GB"/>
        </w:rPr>
        <w:t>Oakley</w:t>
      </w:r>
    </w:p>
    <w:p w:rsidR="009D2C89" w:rsidRDefault="009D2C89">
      <w:pPr>
        <w:rPr>
          <w:rFonts w:ascii="Verdana" w:hAnsi="Verdana" w:cs="Verdana"/>
          <w:sz w:val="22"/>
          <w:szCs w:val="22"/>
          <w:lang w:val="en-GB"/>
        </w:rPr>
      </w:pPr>
    </w:p>
    <w:p w:rsidR="00DE0CA2" w:rsidRPr="004F25E1" w:rsidRDefault="0052597E">
      <w:pPr>
        <w:rPr>
          <w:rFonts w:ascii="Verdana" w:hAnsi="Verdana" w:cs="Verdana"/>
          <w:b/>
          <w:bCs/>
          <w:sz w:val="22"/>
          <w:szCs w:val="22"/>
          <w:lang w:val="en-GB"/>
        </w:rPr>
      </w:pPr>
      <w:r>
        <w:rPr>
          <w:rFonts w:ascii="Verdana" w:hAnsi="Verdana" w:cs="Verdana"/>
          <w:b/>
          <w:bCs/>
          <w:sz w:val="22"/>
          <w:szCs w:val="22"/>
          <w:lang w:val="en-GB"/>
        </w:rPr>
        <w:t>3</w:t>
      </w:r>
      <w:r w:rsidR="004F25E1" w:rsidRPr="004F25E1">
        <w:rPr>
          <w:rFonts w:ascii="Verdana" w:hAnsi="Verdana" w:cs="Verdana"/>
          <w:b/>
          <w:bCs/>
          <w:sz w:val="22"/>
          <w:szCs w:val="22"/>
          <w:lang w:val="en-GB"/>
        </w:rPr>
        <w:t>.1</w:t>
      </w:r>
      <w:r w:rsidR="004F25E1" w:rsidRPr="004F25E1">
        <w:rPr>
          <w:rFonts w:ascii="Verdana" w:hAnsi="Verdana" w:cs="Verdana"/>
          <w:b/>
          <w:bCs/>
          <w:sz w:val="22"/>
          <w:szCs w:val="22"/>
          <w:lang w:val="en-GB"/>
        </w:rPr>
        <w:tab/>
      </w:r>
      <w:r w:rsidR="00761304" w:rsidRPr="004F25E1">
        <w:rPr>
          <w:rFonts w:ascii="Verdana" w:hAnsi="Verdana" w:cs="Verdana"/>
          <w:b/>
          <w:sz w:val="22"/>
          <w:szCs w:val="22"/>
          <w:lang w:val="en-GB"/>
        </w:rPr>
        <w:t>Housing affordability ratio</w:t>
      </w:r>
    </w:p>
    <w:p w:rsidR="004F25E1" w:rsidRDefault="004F25E1">
      <w:pPr>
        <w:rPr>
          <w:rFonts w:ascii="Verdana" w:hAnsi="Verdana" w:cs="Verdana"/>
          <w:sz w:val="22"/>
          <w:szCs w:val="22"/>
          <w:lang w:val="en-GB"/>
        </w:rPr>
      </w:pPr>
    </w:p>
    <w:p w:rsidR="00DE0CA2" w:rsidRPr="007C1B71" w:rsidRDefault="00A714C2">
      <w:pPr>
        <w:rPr>
          <w:rFonts w:ascii="Verdana" w:hAnsi="Verdana" w:cs="Verdana"/>
          <w:bCs/>
          <w:lang w:val="en-GB"/>
        </w:rPr>
      </w:pPr>
      <w:r w:rsidRPr="007C1B71">
        <w:rPr>
          <w:rFonts w:ascii="Verdana" w:hAnsi="Verdana" w:cs="Verdana"/>
          <w:bCs/>
          <w:lang w:val="en-GB"/>
        </w:rPr>
        <w:t>The ‘affordability</w:t>
      </w:r>
      <w:r w:rsidR="00DE0CA2" w:rsidRPr="007C1B71">
        <w:rPr>
          <w:rFonts w:ascii="Verdana" w:hAnsi="Verdana" w:cs="Verdana"/>
          <w:bCs/>
          <w:lang w:val="en-GB"/>
        </w:rPr>
        <w:t xml:space="preserve"> ratio’ (</w:t>
      </w:r>
      <w:r w:rsidRPr="007C1B71">
        <w:rPr>
          <w:rFonts w:ascii="Verdana" w:hAnsi="Verdana" w:cs="Verdana"/>
          <w:bCs/>
          <w:lang w:val="en-GB"/>
        </w:rPr>
        <w:t xml:space="preserve">median </w:t>
      </w:r>
      <w:r w:rsidR="00DE0CA2" w:rsidRPr="007C1B71">
        <w:rPr>
          <w:rFonts w:ascii="Verdana" w:hAnsi="Verdana" w:cs="Verdana"/>
          <w:bCs/>
          <w:lang w:val="en-GB"/>
        </w:rPr>
        <w:t xml:space="preserve">house prices as a ratio of </w:t>
      </w:r>
      <w:r w:rsidRPr="007C1B71">
        <w:rPr>
          <w:rFonts w:ascii="Verdana" w:hAnsi="Verdana" w:cs="Verdana"/>
          <w:bCs/>
          <w:lang w:val="en-GB"/>
        </w:rPr>
        <w:t xml:space="preserve">median </w:t>
      </w:r>
      <w:r w:rsidR="00100F5C" w:rsidRPr="007C1B71">
        <w:rPr>
          <w:rFonts w:ascii="Verdana" w:hAnsi="Verdana" w:cs="Verdana"/>
          <w:bCs/>
          <w:lang w:val="en-GB"/>
        </w:rPr>
        <w:t>household earnings</w:t>
      </w:r>
      <w:r w:rsidR="00761304" w:rsidRPr="007C1B71">
        <w:rPr>
          <w:rFonts w:ascii="Verdana" w:hAnsi="Verdana" w:cs="Verdana"/>
          <w:bCs/>
          <w:lang w:val="en-GB"/>
        </w:rPr>
        <w:t xml:space="preserve">) for </w:t>
      </w:r>
      <w:r w:rsidR="00157AA4" w:rsidRPr="007C1B71">
        <w:rPr>
          <w:rFonts w:ascii="Verdana" w:hAnsi="Verdana" w:cs="Verdana"/>
          <w:bCs/>
          <w:lang w:val="en-GB"/>
        </w:rPr>
        <w:t>Oakley</w:t>
      </w:r>
      <w:r w:rsidR="00761304" w:rsidRPr="007C1B71">
        <w:rPr>
          <w:rFonts w:ascii="Verdana" w:hAnsi="Verdana" w:cs="Verdana"/>
          <w:bCs/>
          <w:lang w:val="en-GB"/>
        </w:rPr>
        <w:t xml:space="preserve"> in 2008/09 (latest data available) was 1</w:t>
      </w:r>
      <w:r w:rsidR="00602091" w:rsidRPr="007C1B71">
        <w:rPr>
          <w:rFonts w:ascii="Verdana" w:hAnsi="Verdana" w:cs="Verdana"/>
          <w:bCs/>
          <w:lang w:val="en-GB"/>
        </w:rPr>
        <w:t>4</w:t>
      </w:r>
      <w:r w:rsidR="00761304" w:rsidRPr="007C1B71">
        <w:rPr>
          <w:rFonts w:ascii="Verdana" w:hAnsi="Verdana" w:cs="Verdana"/>
          <w:bCs/>
          <w:lang w:val="en-GB"/>
        </w:rPr>
        <w:t>.</w:t>
      </w:r>
      <w:r w:rsidR="00D452A2" w:rsidRPr="007C1B71">
        <w:rPr>
          <w:rFonts w:ascii="Verdana" w:hAnsi="Verdana" w:cs="Verdana"/>
          <w:bCs/>
          <w:lang w:val="en-GB"/>
        </w:rPr>
        <w:t>8</w:t>
      </w:r>
      <w:r w:rsidR="00724BCA" w:rsidRPr="007C1B71">
        <w:rPr>
          <w:rFonts w:ascii="Verdana" w:hAnsi="Verdana" w:cs="Verdana"/>
          <w:bCs/>
          <w:lang w:val="en-GB"/>
        </w:rPr>
        <w:t xml:space="preserve">. In other words, houses on the market cost </w:t>
      </w:r>
      <w:r w:rsidR="00100F5C" w:rsidRPr="007C1B71">
        <w:rPr>
          <w:rFonts w:ascii="Verdana" w:hAnsi="Verdana" w:cs="Verdana"/>
          <w:bCs/>
          <w:lang w:val="en-GB"/>
        </w:rPr>
        <w:t>on average 14</w:t>
      </w:r>
      <w:r w:rsidR="00761304" w:rsidRPr="007C1B71">
        <w:rPr>
          <w:rFonts w:ascii="Verdana" w:hAnsi="Verdana" w:cs="Verdana"/>
          <w:bCs/>
          <w:lang w:val="en-GB"/>
        </w:rPr>
        <w:t>.</w:t>
      </w:r>
      <w:r w:rsidR="00D452A2" w:rsidRPr="007C1B71">
        <w:rPr>
          <w:rFonts w:ascii="Verdana" w:hAnsi="Verdana" w:cs="Verdana"/>
          <w:bCs/>
          <w:lang w:val="en-GB"/>
        </w:rPr>
        <w:t>8</w:t>
      </w:r>
      <w:r w:rsidR="00724BCA" w:rsidRPr="007C1B71">
        <w:rPr>
          <w:rFonts w:ascii="Verdana" w:hAnsi="Verdana" w:cs="Verdana"/>
          <w:bCs/>
          <w:lang w:val="en-GB"/>
        </w:rPr>
        <w:t xml:space="preserve"> times </w:t>
      </w:r>
      <w:r w:rsidRPr="007C1B71">
        <w:rPr>
          <w:rFonts w:ascii="Verdana" w:hAnsi="Verdana" w:cs="Verdana"/>
          <w:bCs/>
          <w:lang w:val="en-GB"/>
        </w:rPr>
        <w:t xml:space="preserve">annual </w:t>
      </w:r>
      <w:r w:rsidR="00724BCA" w:rsidRPr="007C1B71">
        <w:rPr>
          <w:rFonts w:ascii="Verdana" w:hAnsi="Verdana" w:cs="Verdana"/>
          <w:bCs/>
          <w:lang w:val="en-GB"/>
        </w:rPr>
        <w:t>incomes</w:t>
      </w:r>
      <w:r w:rsidR="00E72EB9" w:rsidRPr="001406A1">
        <w:rPr>
          <w:kern w:val="0"/>
          <w:vertAlign w:val="superscript"/>
        </w:rPr>
        <w:footnoteReference w:id="2"/>
      </w:r>
      <w:r w:rsidR="00724BCA" w:rsidRPr="007C1B71">
        <w:rPr>
          <w:rFonts w:ascii="Verdana" w:hAnsi="Verdana" w:cs="Verdana"/>
          <w:bCs/>
          <w:lang w:val="en-GB"/>
        </w:rPr>
        <w:t>.</w:t>
      </w:r>
    </w:p>
    <w:p w:rsidR="00724BCA" w:rsidRDefault="00724BCA">
      <w:pPr>
        <w:rPr>
          <w:rFonts w:ascii="Verdana" w:hAnsi="Verdana" w:cs="Verdana"/>
          <w:sz w:val="22"/>
          <w:szCs w:val="22"/>
          <w:lang w:val="en-GB"/>
        </w:rPr>
      </w:pPr>
    </w:p>
    <w:p w:rsidR="00724BCA" w:rsidRPr="004F25E1" w:rsidRDefault="0052597E">
      <w:pPr>
        <w:rPr>
          <w:rFonts w:ascii="Verdana" w:hAnsi="Verdana" w:cs="Verdana"/>
          <w:b/>
          <w:sz w:val="22"/>
          <w:szCs w:val="22"/>
          <w:lang w:val="en-GB"/>
        </w:rPr>
      </w:pPr>
      <w:r>
        <w:rPr>
          <w:rFonts w:ascii="Verdana" w:hAnsi="Verdana" w:cs="Verdana"/>
          <w:b/>
          <w:sz w:val="22"/>
          <w:szCs w:val="22"/>
          <w:lang w:val="en-GB"/>
        </w:rPr>
        <w:t>3</w:t>
      </w:r>
      <w:r w:rsidR="004F25E1" w:rsidRPr="004F25E1">
        <w:rPr>
          <w:rFonts w:ascii="Verdana" w:hAnsi="Verdana" w:cs="Verdana"/>
          <w:b/>
          <w:sz w:val="22"/>
          <w:szCs w:val="22"/>
          <w:lang w:val="en-GB"/>
        </w:rPr>
        <w:t>.2</w:t>
      </w:r>
      <w:r w:rsidR="004F25E1" w:rsidRPr="004F25E1">
        <w:rPr>
          <w:rFonts w:ascii="Verdana" w:hAnsi="Verdana" w:cs="Verdana"/>
          <w:b/>
          <w:sz w:val="22"/>
          <w:szCs w:val="22"/>
          <w:lang w:val="en-GB"/>
        </w:rPr>
        <w:tab/>
      </w:r>
      <w:r w:rsidR="00724BCA" w:rsidRPr="004F25E1">
        <w:rPr>
          <w:rFonts w:ascii="Verdana" w:hAnsi="Verdana" w:cs="Verdana"/>
          <w:b/>
          <w:sz w:val="22"/>
          <w:szCs w:val="22"/>
          <w:lang w:val="en-GB"/>
        </w:rPr>
        <w:t>Dwellings in lower Council Tax Bands</w:t>
      </w:r>
    </w:p>
    <w:p w:rsidR="004F25E1" w:rsidRDefault="004F25E1">
      <w:pPr>
        <w:rPr>
          <w:rFonts w:ascii="Verdana" w:hAnsi="Verdana" w:cs="Verdana"/>
          <w:sz w:val="22"/>
          <w:szCs w:val="22"/>
          <w:lang w:val="en-GB"/>
        </w:rPr>
      </w:pPr>
    </w:p>
    <w:p w:rsidR="00DE0CA2" w:rsidRDefault="00494A04">
      <w:pPr>
        <w:rPr>
          <w:rFonts w:ascii="Verdana" w:hAnsi="Verdana" w:cs="Verdana"/>
          <w:sz w:val="22"/>
          <w:szCs w:val="22"/>
          <w:lang w:val="en-GB"/>
        </w:rPr>
      </w:pPr>
      <w:r w:rsidRPr="007C1B71">
        <w:rPr>
          <w:rFonts w:ascii="Verdana" w:hAnsi="Verdana" w:cs="Verdana"/>
          <w:lang w:val="en-GB"/>
        </w:rPr>
        <w:t>3</w:t>
      </w:r>
      <w:r w:rsidRPr="007C1B71">
        <w:rPr>
          <w:rFonts w:ascii="Verdana" w:hAnsi="Verdana" w:cs="Verdana"/>
          <w:bCs/>
          <w:lang w:val="en-GB"/>
        </w:rPr>
        <w:t>.7</w:t>
      </w:r>
      <w:r w:rsidR="00724BCA" w:rsidRPr="007C1B71">
        <w:rPr>
          <w:rFonts w:ascii="Verdana" w:hAnsi="Verdana" w:cs="Verdana"/>
          <w:bCs/>
          <w:lang w:val="en-GB"/>
        </w:rPr>
        <w:t xml:space="preserve">% of dwellings in </w:t>
      </w:r>
      <w:r w:rsidR="00D81E9A">
        <w:rPr>
          <w:rFonts w:ascii="Verdana" w:hAnsi="Verdana" w:cs="Verdana"/>
          <w:bCs/>
          <w:lang w:val="en-GB"/>
        </w:rPr>
        <w:t>Oakley</w:t>
      </w:r>
      <w:r w:rsidR="00724BCA" w:rsidRPr="007C1B71">
        <w:rPr>
          <w:rFonts w:ascii="Verdana" w:hAnsi="Verdana" w:cs="Verdana"/>
          <w:bCs/>
          <w:lang w:val="en-GB"/>
        </w:rPr>
        <w:t xml:space="preserve"> are</w:t>
      </w:r>
      <w:r w:rsidR="00C119BB" w:rsidRPr="007C1B71">
        <w:rPr>
          <w:rFonts w:ascii="Verdana" w:hAnsi="Verdana" w:cs="Verdana"/>
          <w:bCs/>
          <w:lang w:val="en-GB"/>
        </w:rPr>
        <w:t xml:space="preserve"> in Council Tax Band A, and </w:t>
      </w:r>
      <w:r w:rsidRPr="007C1B71">
        <w:rPr>
          <w:rFonts w:ascii="Verdana" w:hAnsi="Verdana" w:cs="Verdana"/>
          <w:bCs/>
          <w:lang w:val="en-GB"/>
        </w:rPr>
        <w:t>1.6</w:t>
      </w:r>
      <w:r w:rsidR="00724BCA" w:rsidRPr="007C1B71">
        <w:rPr>
          <w:rFonts w:ascii="Verdana" w:hAnsi="Verdana" w:cs="Verdana"/>
          <w:bCs/>
          <w:lang w:val="en-GB"/>
        </w:rPr>
        <w:t xml:space="preserve">% in Band B, compared to </w:t>
      </w:r>
      <w:r w:rsidR="002A337F" w:rsidRPr="007C1B71">
        <w:rPr>
          <w:rFonts w:ascii="Verdana" w:hAnsi="Verdana" w:cs="Verdana"/>
          <w:bCs/>
          <w:lang w:val="en-GB"/>
        </w:rPr>
        <w:t>13</w:t>
      </w:r>
      <w:r w:rsidR="00724BCA" w:rsidRPr="007C1B71">
        <w:rPr>
          <w:rFonts w:ascii="Verdana" w:hAnsi="Verdana" w:cs="Verdana"/>
          <w:bCs/>
          <w:lang w:val="en-GB"/>
        </w:rPr>
        <w:t>.6% and 2</w:t>
      </w:r>
      <w:r w:rsidR="002A337F" w:rsidRPr="007C1B71">
        <w:rPr>
          <w:rFonts w:ascii="Verdana" w:hAnsi="Verdana" w:cs="Verdana"/>
          <w:bCs/>
          <w:lang w:val="en-GB"/>
        </w:rPr>
        <w:t>4.9</w:t>
      </w:r>
      <w:r w:rsidR="00724BCA" w:rsidRPr="007C1B71">
        <w:rPr>
          <w:rFonts w:ascii="Verdana" w:hAnsi="Verdana" w:cs="Verdana"/>
          <w:bCs/>
          <w:lang w:val="en-GB"/>
        </w:rPr>
        <w:t xml:space="preserve">% for </w:t>
      </w:r>
      <w:r w:rsidR="007579EB" w:rsidRPr="007C1B71">
        <w:rPr>
          <w:rFonts w:ascii="Verdana" w:hAnsi="Verdana" w:cs="Verdana"/>
          <w:bCs/>
          <w:lang w:val="en-GB"/>
        </w:rPr>
        <w:t>Bedford Borough</w:t>
      </w:r>
      <w:r w:rsidR="00724BCA" w:rsidRPr="007C1B71">
        <w:rPr>
          <w:rFonts w:ascii="Verdana" w:hAnsi="Verdana" w:cs="Verdana"/>
          <w:bCs/>
          <w:lang w:val="en-GB"/>
        </w:rPr>
        <w:t xml:space="preserve"> as a whole. </w:t>
      </w:r>
      <w:r w:rsidRPr="007C1B71">
        <w:rPr>
          <w:rFonts w:ascii="Verdana" w:hAnsi="Verdana" w:cs="Verdana"/>
          <w:bCs/>
          <w:lang w:val="en-GB"/>
        </w:rPr>
        <w:t>This indicates a relative shortage of affordable housing for purchase in Oakley.</w:t>
      </w:r>
      <w:r>
        <w:rPr>
          <w:rFonts w:ascii="Verdana" w:hAnsi="Verdana" w:cs="Verdana"/>
          <w:sz w:val="22"/>
          <w:szCs w:val="22"/>
          <w:lang w:val="en-GB"/>
        </w:rPr>
        <w:t xml:space="preserve">  </w:t>
      </w:r>
    </w:p>
    <w:p w:rsidR="008B1936" w:rsidRDefault="008B1936">
      <w:pPr>
        <w:rPr>
          <w:rFonts w:ascii="Verdana" w:hAnsi="Verdana" w:cs="Verdana"/>
          <w:sz w:val="22"/>
          <w:szCs w:val="22"/>
          <w:lang w:val="en-GB"/>
        </w:rPr>
      </w:pPr>
    </w:p>
    <w:p w:rsidR="009D2C89" w:rsidRPr="004F25E1" w:rsidRDefault="0052597E">
      <w:pPr>
        <w:rPr>
          <w:rFonts w:ascii="Verdana" w:hAnsi="Verdana" w:cs="Verdana"/>
          <w:b/>
          <w:bCs/>
          <w:iCs/>
          <w:sz w:val="22"/>
          <w:szCs w:val="22"/>
          <w:lang w:val="en-GB"/>
        </w:rPr>
      </w:pPr>
      <w:r>
        <w:rPr>
          <w:rFonts w:ascii="Verdana" w:hAnsi="Verdana" w:cs="Verdana"/>
          <w:b/>
          <w:bCs/>
          <w:iCs/>
          <w:sz w:val="22"/>
          <w:szCs w:val="22"/>
          <w:lang w:val="en-GB"/>
        </w:rPr>
        <w:t>3</w:t>
      </w:r>
      <w:r w:rsidR="004F25E1" w:rsidRPr="004F25E1">
        <w:rPr>
          <w:rFonts w:ascii="Verdana" w:hAnsi="Verdana" w:cs="Verdana"/>
          <w:b/>
          <w:bCs/>
          <w:iCs/>
          <w:sz w:val="22"/>
          <w:szCs w:val="22"/>
          <w:lang w:val="en-GB"/>
        </w:rPr>
        <w:t>.3</w:t>
      </w:r>
      <w:r w:rsidR="004F25E1" w:rsidRPr="004F25E1">
        <w:rPr>
          <w:rFonts w:ascii="Verdana" w:hAnsi="Verdana" w:cs="Verdana"/>
          <w:b/>
          <w:bCs/>
          <w:iCs/>
          <w:sz w:val="22"/>
          <w:szCs w:val="22"/>
          <w:lang w:val="en-GB"/>
        </w:rPr>
        <w:tab/>
      </w:r>
      <w:r w:rsidR="004F25E1">
        <w:rPr>
          <w:rFonts w:ascii="Verdana" w:hAnsi="Verdana" w:cs="Verdana"/>
          <w:b/>
          <w:bCs/>
          <w:iCs/>
          <w:sz w:val="22"/>
          <w:szCs w:val="22"/>
          <w:lang w:val="en-GB"/>
        </w:rPr>
        <w:t>Current property</w:t>
      </w:r>
      <w:r w:rsidR="009D2C89" w:rsidRPr="004F25E1">
        <w:rPr>
          <w:rFonts w:ascii="Verdana" w:hAnsi="Verdana" w:cs="Verdana"/>
          <w:b/>
          <w:bCs/>
          <w:iCs/>
          <w:sz w:val="22"/>
          <w:szCs w:val="22"/>
          <w:lang w:val="en-GB"/>
        </w:rPr>
        <w:t xml:space="preserve"> </w:t>
      </w:r>
      <w:r w:rsidR="004F25E1">
        <w:rPr>
          <w:rFonts w:ascii="Verdana" w:hAnsi="Verdana" w:cs="Verdana"/>
          <w:b/>
          <w:bCs/>
          <w:iCs/>
          <w:sz w:val="22"/>
          <w:szCs w:val="22"/>
          <w:lang w:val="en-GB"/>
        </w:rPr>
        <w:t xml:space="preserve">availability for sale </w:t>
      </w:r>
      <w:r w:rsidR="00DE0CA2" w:rsidRPr="004F25E1">
        <w:rPr>
          <w:rFonts w:ascii="Verdana" w:hAnsi="Verdana" w:cs="Verdana"/>
          <w:b/>
          <w:bCs/>
          <w:iCs/>
          <w:sz w:val="22"/>
          <w:szCs w:val="22"/>
          <w:lang w:val="en-GB"/>
        </w:rPr>
        <w:t xml:space="preserve">in </w:t>
      </w:r>
      <w:r w:rsidR="00494A04">
        <w:rPr>
          <w:rFonts w:ascii="Verdana" w:hAnsi="Verdana" w:cs="Verdana"/>
          <w:b/>
          <w:bCs/>
          <w:iCs/>
          <w:sz w:val="22"/>
          <w:szCs w:val="22"/>
          <w:lang w:val="en-GB"/>
        </w:rPr>
        <w:t>Oakley</w:t>
      </w:r>
    </w:p>
    <w:p w:rsidR="004F25E1" w:rsidRDefault="004F25E1">
      <w:pPr>
        <w:rPr>
          <w:rFonts w:ascii="Verdana" w:hAnsi="Verdana" w:cs="Verdana"/>
          <w:sz w:val="22"/>
          <w:szCs w:val="22"/>
          <w:lang w:val="en-GB"/>
        </w:rPr>
      </w:pPr>
    </w:p>
    <w:p w:rsidR="009D2C89" w:rsidRPr="00FD4A35" w:rsidRDefault="009D2C89">
      <w:pPr>
        <w:rPr>
          <w:rFonts w:ascii="Verdana" w:hAnsi="Verdana" w:cs="Verdana"/>
          <w:lang w:val="en-GB"/>
        </w:rPr>
      </w:pPr>
      <w:r w:rsidRPr="00FD4A35">
        <w:rPr>
          <w:rFonts w:ascii="Verdana" w:hAnsi="Verdana" w:cs="Verdana"/>
          <w:lang w:val="en-GB"/>
        </w:rPr>
        <w:t>In</w:t>
      </w:r>
      <w:r w:rsidR="00761304" w:rsidRPr="00FD4A35">
        <w:rPr>
          <w:rFonts w:ascii="Verdana" w:hAnsi="Verdana" w:cs="Verdana"/>
          <w:lang w:val="en-GB"/>
        </w:rPr>
        <w:t xml:space="preserve"> </w:t>
      </w:r>
      <w:r w:rsidR="00494A04" w:rsidRPr="00FD4A35">
        <w:rPr>
          <w:rFonts w:ascii="Verdana" w:hAnsi="Verdana" w:cs="Verdana"/>
          <w:lang w:val="en-GB"/>
        </w:rPr>
        <w:t>March</w:t>
      </w:r>
      <w:r w:rsidR="009C3ED8" w:rsidRPr="00FD4A35">
        <w:rPr>
          <w:rFonts w:ascii="Verdana" w:hAnsi="Verdana" w:cs="Verdana"/>
          <w:lang w:val="en-GB"/>
        </w:rPr>
        <w:t xml:space="preserve"> 2016</w:t>
      </w:r>
      <w:r w:rsidRPr="00FD4A35">
        <w:rPr>
          <w:rFonts w:ascii="Verdana" w:hAnsi="Verdana" w:cs="Verdana"/>
          <w:lang w:val="en-GB"/>
        </w:rPr>
        <w:t xml:space="preserve">, we found </w:t>
      </w:r>
      <w:r w:rsidR="00494A04" w:rsidRPr="00FD4A35">
        <w:rPr>
          <w:rFonts w:ascii="Verdana" w:hAnsi="Verdana" w:cs="Verdana"/>
          <w:lang w:val="en-GB"/>
        </w:rPr>
        <w:t>6</w:t>
      </w:r>
      <w:r w:rsidRPr="00FD4A35">
        <w:rPr>
          <w:rFonts w:ascii="Verdana" w:hAnsi="Verdana" w:cs="Verdana"/>
          <w:lang w:val="en-GB"/>
        </w:rPr>
        <w:t xml:space="preserve"> properties for sale</w:t>
      </w:r>
      <w:r w:rsidR="00D4362D" w:rsidRPr="00FD4A35">
        <w:rPr>
          <w:rFonts w:ascii="Verdana" w:hAnsi="Verdana" w:cs="Verdana"/>
          <w:lang w:val="en-GB"/>
        </w:rPr>
        <w:t xml:space="preserve"> in </w:t>
      </w:r>
      <w:r w:rsidR="00494A04" w:rsidRPr="00FD4A35">
        <w:rPr>
          <w:rFonts w:ascii="Verdana" w:hAnsi="Verdana" w:cs="Verdana"/>
          <w:lang w:val="en-GB"/>
        </w:rPr>
        <w:t>Oakley</w:t>
      </w:r>
      <w:r w:rsidR="00D4362D" w:rsidRPr="00FD4A35">
        <w:rPr>
          <w:rFonts w:ascii="Verdana" w:hAnsi="Verdana" w:cs="Verdana"/>
          <w:lang w:val="en-GB"/>
        </w:rPr>
        <w:t>:</w:t>
      </w:r>
    </w:p>
    <w:p w:rsidR="00AB4806" w:rsidRDefault="00AB4806">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008"/>
        <w:gridCol w:w="1559"/>
        <w:gridCol w:w="4111"/>
      </w:tblGrid>
      <w:tr w:rsidR="00AB4806" w:rsidRPr="009D2C89" w:rsidTr="00AB4806">
        <w:tc>
          <w:tcPr>
            <w:tcW w:w="4008" w:type="dxa"/>
            <w:tcBorders>
              <w:top w:val="single" w:sz="8" w:space="0" w:color="auto"/>
              <w:left w:val="single" w:sz="8" w:space="0" w:color="auto"/>
              <w:bottom w:val="single" w:sz="8" w:space="0" w:color="auto"/>
              <w:right w:val="nil"/>
            </w:tcBorders>
          </w:tcPr>
          <w:p w:rsidR="00AB4806" w:rsidRPr="009D2C89" w:rsidRDefault="00AB4806" w:rsidP="00AB4806">
            <w:pPr>
              <w:rPr>
                <w:rFonts w:ascii="Verdana" w:hAnsi="Verdana" w:cs="Verdana"/>
                <w:lang w:val="en-GB"/>
              </w:rPr>
            </w:pPr>
            <w:r w:rsidRPr="009D2C89">
              <w:rPr>
                <w:rFonts w:ascii="Verdana" w:hAnsi="Verdana" w:cs="Verdana"/>
                <w:b/>
                <w:bCs/>
                <w:sz w:val="22"/>
                <w:szCs w:val="22"/>
                <w:lang w:val="en-GB"/>
              </w:rPr>
              <w:t>Dwelling size</w:t>
            </w:r>
            <w:r>
              <w:rPr>
                <w:rFonts w:ascii="Verdana" w:hAnsi="Verdana" w:cs="Verdana"/>
                <w:b/>
                <w:bCs/>
                <w:sz w:val="22"/>
                <w:szCs w:val="22"/>
                <w:lang w:val="en-GB"/>
              </w:rPr>
              <w:t xml:space="preserve"> / type</w:t>
            </w:r>
          </w:p>
        </w:tc>
        <w:tc>
          <w:tcPr>
            <w:tcW w:w="1559" w:type="dxa"/>
            <w:tcBorders>
              <w:top w:val="single" w:sz="8" w:space="0" w:color="auto"/>
              <w:left w:val="single" w:sz="8" w:space="0" w:color="auto"/>
              <w:bottom w:val="single" w:sz="8" w:space="0" w:color="auto"/>
              <w:right w:val="single" w:sz="8" w:space="0" w:color="auto"/>
            </w:tcBorders>
          </w:tcPr>
          <w:p w:rsidR="00AB4806" w:rsidRPr="009D2C89" w:rsidRDefault="00AB4806" w:rsidP="00AB4806">
            <w:pPr>
              <w:rPr>
                <w:rFonts w:ascii="Verdana" w:hAnsi="Verdana" w:cs="Verdana"/>
                <w:b/>
                <w:bCs/>
                <w:sz w:val="22"/>
                <w:szCs w:val="22"/>
                <w:lang w:val="en-GB"/>
              </w:rPr>
            </w:pPr>
            <w:r>
              <w:rPr>
                <w:rFonts w:ascii="Verdana" w:hAnsi="Verdana" w:cs="Verdana"/>
                <w:b/>
                <w:bCs/>
                <w:sz w:val="22"/>
                <w:szCs w:val="22"/>
                <w:lang w:val="en-GB"/>
              </w:rPr>
              <w:t>Number</w:t>
            </w:r>
          </w:p>
        </w:tc>
        <w:tc>
          <w:tcPr>
            <w:tcW w:w="4111" w:type="dxa"/>
            <w:tcBorders>
              <w:top w:val="single" w:sz="8" w:space="0" w:color="auto"/>
              <w:left w:val="single" w:sz="8" w:space="0" w:color="auto"/>
              <w:bottom w:val="single" w:sz="8" w:space="0" w:color="auto"/>
              <w:right w:val="single" w:sz="8" w:space="0" w:color="auto"/>
            </w:tcBorders>
          </w:tcPr>
          <w:p w:rsidR="00AB4806" w:rsidRPr="009D2C89" w:rsidRDefault="00AB4806" w:rsidP="000D57C5">
            <w:pPr>
              <w:rPr>
                <w:rFonts w:ascii="Verdana" w:hAnsi="Verdana" w:cs="Verdana"/>
                <w:lang w:val="en-GB"/>
              </w:rPr>
            </w:pPr>
            <w:r w:rsidRPr="009D2C89">
              <w:rPr>
                <w:rFonts w:ascii="Verdana" w:hAnsi="Verdana" w:cs="Verdana"/>
                <w:b/>
                <w:bCs/>
                <w:sz w:val="22"/>
                <w:szCs w:val="22"/>
                <w:lang w:val="en-GB"/>
              </w:rPr>
              <w:t>Asking</w:t>
            </w:r>
            <w:r w:rsidR="000D57C5">
              <w:rPr>
                <w:rFonts w:ascii="Verdana" w:hAnsi="Verdana" w:cs="Verdana"/>
                <w:b/>
                <w:bCs/>
                <w:sz w:val="22"/>
                <w:szCs w:val="22"/>
                <w:lang w:val="en-GB"/>
              </w:rPr>
              <w:t>/sale</w:t>
            </w:r>
            <w:r w:rsidRPr="009D2C89">
              <w:rPr>
                <w:rFonts w:ascii="Verdana" w:hAnsi="Verdana" w:cs="Verdana"/>
                <w:b/>
                <w:bCs/>
                <w:sz w:val="22"/>
                <w:szCs w:val="22"/>
                <w:lang w:val="en-GB"/>
              </w:rPr>
              <w:t xml:space="preserve"> price</w:t>
            </w:r>
            <w:r>
              <w:rPr>
                <w:rFonts w:ascii="Verdana" w:hAnsi="Verdana" w:cs="Verdana"/>
                <w:b/>
                <w:bCs/>
                <w:sz w:val="22"/>
                <w:szCs w:val="22"/>
                <w:lang w:val="en-GB"/>
              </w:rPr>
              <w:t xml:space="preserve"> </w:t>
            </w:r>
          </w:p>
        </w:tc>
      </w:tr>
      <w:tr w:rsidR="009C3ED8" w:rsidRPr="003913A0" w:rsidTr="00AB4806">
        <w:tc>
          <w:tcPr>
            <w:tcW w:w="4008" w:type="dxa"/>
            <w:tcBorders>
              <w:top w:val="single" w:sz="8" w:space="0" w:color="auto"/>
              <w:left w:val="single" w:sz="8" w:space="0" w:color="auto"/>
              <w:bottom w:val="single" w:sz="8" w:space="0" w:color="auto"/>
              <w:right w:val="nil"/>
            </w:tcBorders>
          </w:tcPr>
          <w:p w:rsidR="009C3ED8" w:rsidRDefault="009C3ED8" w:rsidP="00AB4806">
            <w:pPr>
              <w:rPr>
                <w:rFonts w:ascii="Verdana" w:hAnsi="Verdana" w:cs="Verdana"/>
                <w:sz w:val="22"/>
                <w:szCs w:val="22"/>
                <w:lang w:val="en-GB"/>
              </w:rPr>
            </w:pPr>
            <w:r>
              <w:rPr>
                <w:rFonts w:ascii="Verdana" w:hAnsi="Verdana" w:cs="Verdana"/>
                <w:sz w:val="22"/>
                <w:szCs w:val="22"/>
                <w:lang w:val="en-GB"/>
              </w:rPr>
              <w:t>2 bedroom house</w:t>
            </w:r>
          </w:p>
        </w:tc>
        <w:tc>
          <w:tcPr>
            <w:tcW w:w="1559" w:type="dxa"/>
            <w:tcBorders>
              <w:top w:val="single" w:sz="8" w:space="0" w:color="auto"/>
              <w:left w:val="single" w:sz="8" w:space="0" w:color="auto"/>
              <w:bottom w:val="single" w:sz="8" w:space="0" w:color="auto"/>
              <w:right w:val="single" w:sz="8" w:space="0" w:color="auto"/>
            </w:tcBorders>
          </w:tcPr>
          <w:p w:rsidR="009C3ED8" w:rsidRDefault="00494A04" w:rsidP="00AB4806">
            <w:pPr>
              <w:rPr>
                <w:rFonts w:ascii="Verdana" w:hAnsi="Verdana" w:cs="Verdana"/>
                <w:sz w:val="22"/>
                <w:szCs w:val="22"/>
                <w:lang w:val="en-GB"/>
              </w:rPr>
            </w:pPr>
            <w:r>
              <w:rPr>
                <w:rFonts w:ascii="Verdana" w:hAnsi="Verdana" w:cs="Verdana"/>
                <w:sz w:val="22"/>
                <w:szCs w:val="22"/>
                <w:lang w:val="en-GB"/>
              </w:rPr>
              <w:t>0</w:t>
            </w:r>
          </w:p>
        </w:tc>
        <w:tc>
          <w:tcPr>
            <w:tcW w:w="4111" w:type="dxa"/>
            <w:tcBorders>
              <w:top w:val="single" w:sz="8" w:space="0" w:color="auto"/>
              <w:left w:val="single" w:sz="8" w:space="0" w:color="auto"/>
              <w:bottom w:val="single" w:sz="8" w:space="0" w:color="auto"/>
              <w:right w:val="single" w:sz="8" w:space="0" w:color="auto"/>
            </w:tcBorders>
          </w:tcPr>
          <w:p w:rsidR="009C3ED8" w:rsidRDefault="00494A04" w:rsidP="000D57C5">
            <w:pPr>
              <w:rPr>
                <w:rFonts w:ascii="Verdana" w:hAnsi="Verdana" w:cs="Verdana"/>
                <w:sz w:val="22"/>
                <w:szCs w:val="22"/>
                <w:lang w:val="en-GB"/>
              </w:rPr>
            </w:pPr>
            <w:r>
              <w:rPr>
                <w:rFonts w:ascii="Verdana" w:hAnsi="Verdana" w:cs="Verdana"/>
                <w:sz w:val="22"/>
                <w:szCs w:val="22"/>
                <w:lang w:val="en-GB"/>
              </w:rPr>
              <w:t>n/a</w:t>
            </w:r>
          </w:p>
        </w:tc>
      </w:tr>
      <w:tr w:rsidR="00AB4806" w:rsidRPr="003913A0" w:rsidTr="00AB4806">
        <w:tc>
          <w:tcPr>
            <w:tcW w:w="4008" w:type="dxa"/>
            <w:tcBorders>
              <w:top w:val="single" w:sz="8" w:space="0" w:color="auto"/>
              <w:left w:val="single" w:sz="8" w:space="0" w:color="auto"/>
              <w:bottom w:val="single" w:sz="8" w:space="0" w:color="auto"/>
              <w:right w:val="nil"/>
            </w:tcBorders>
          </w:tcPr>
          <w:p w:rsidR="00AB4806" w:rsidRDefault="00494A04" w:rsidP="00494A04">
            <w:pPr>
              <w:rPr>
                <w:rFonts w:ascii="Verdana" w:hAnsi="Verdana" w:cs="Verdana"/>
                <w:sz w:val="22"/>
                <w:szCs w:val="22"/>
                <w:lang w:val="en-GB"/>
              </w:rPr>
            </w:pPr>
            <w:r>
              <w:rPr>
                <w:rFonts w:ascii="Verdana" w:hAnsi="Verdana" w:cs="Verdana"/>
                <w:sz w:val="22"/>
                <w:szCs w:val="22"/>
                <w:lang w:val="en-GB"/>
              </w:rPr>
              <w:t>3</w:t>
            </w:r>
            <w:r w:rsidR="004E0014">
              <w:rPr>
                <w:rFonts w:ascii="Verdana" w:hAnsi="Verdana" w:cs="Verdana"/>
                <w:sz w:val="22"/>
                <w:szCs w:val="22"/>
                <w:lang w:val="en-GB"/>
              </w:rPr>
              <w:t xml:space="preserve"> bedroom </w:t>
            </w:r>
            <w:r>
              <w:rPr>
                <w:rFonts w:ascii="Verdana" w:hAnsi="Verdana" w:cs="Verdana"/>
                <w:sz w:val="22"/>
                <w:szCs w:val="22"/>
                <w:lang w:val="en-GB"/>
              </w:rPr>
              <w:t>house</w:t>
            </w:r>
          </w:p>
        </w:tc>
        <w:tc>
          <w:tcPr>
            <w:tcW w:w="1559" w:type="dxa"/>
            <w:tcBorders>
              <w:top w:val="single" w:sz="8" w:space="0" w:color="auto"/>
              <w:left w:val="single" w:sz="8" w:space="0" w:color="auto"/>
              <w:bottom w:val="single" w:sz="8" w:space="0" w:color="auto"/>
              <w:right w:val="single" w:sz="8" w:space="0" w:color="auto"/>
            </w:tcBorders>
          </w:tcPr>
          <w:p w:rsidR="00AB4806" w:rsidRDefault="00494A04" w:rsidP="00AB4806">
            <w:pPr>
              <w:rPr>
                <w:rFonts w:ascii="Verdana" w:hAnsi="Verdana" w:cs="Verdana"/>
                <w:sz w:val="22"/>
                <w:szCs w:val="22"/>
                <w:lang w:val="en-GB"/>
              </w:rPr>
            </w:pPr>
            <w:r>
              <w:rPr>
                <w:rFonts w:ascii="Verdana" w:hAnsi="Verdana" w:cs="Verdana"/>
                <w:sz w:val="22"/>
                <w:szCs w:val="22"/>
                <w:lang w:val="en-GB"/>
              </w:rPr>
              <w:t>1</w:t>
            </w:r>
          </w:p>
        </w:tc>
        <w:tc>
          <w:tcPr>
            <w:tcW w:w="4111" w:type="dxa"/>
            <w:tcBorders>
              <w:top w:val="single" w:sz="8" w:space="0" w:color="auto"/>
              <w:left w:val="single" w:sz="8" w:space="0" w:color="auto"/>
              <w:bottom w:val="single" w:sz="8" w:space="0" w:color="auto"/>
              <w:right w:val="single" w:sz="8" w:space="0" w:color="auto"/>
            </w:tcBorders>
          </w:tcPr>
          <w:p w:rsidR="00AB4806" w:rsidRDefault="00494A04" w:rsidP="000D57C5">
            <w:pPr>
              <w:rPr>
                <w:rFonts w:ascii="Verdana" w:hAnsi="Verdana" w:cs="Verdana"/>
                <w:sz w:val="22"/>
                <w:szCs w:val="22"/>
                <w:lang w:val="en-GB"/>
              </w:rPr>
            </w:pPr>
            <w:r>
              <w:rPr>
                <w:rFonts w:ascii="Verdana" w:hAnsi="Verdana" w:cs="Verdana"/>
                <w:sz w:val="22"/>
                <w:szCs w:val="22"/>
                <w:lang w:val="en-GB"/>
              </w:rPr>
              <w:t>£350,000</w:t>
            </w:r>
          </w:p>
        </w:tc>
      </w:tr>
      <w:tr w:rsidR="00AB4806" w:rsidRPr="003913A0" w:rsidTr="00AB4806">
        <w:tc>
          <w:tcPr>
            <w:tcW w:w="4008" w:type="dxa"/>
            <w:tcBorders>
              <w:top w:val="single" w:sz="8" w:space="0" w:color="auto"/>
              <w:left w:val="single" w:sz="8" w:space="0" w:color="auto"/>
              <w:bottom w:val="single" w:sz="8" w:space="0" w:color="auto"/>
              <w:right w:val="nil"/>
            </w:tcBorders>
          </w:tcPr>
          <w:p w:rsidR="00AB4806" w:rsidRPr="003913A0" w:rsidRDefault="00494A04" w:rsidP="00AB4806">
            <w:pPr>
              <w:rPr>
                <w:rFonts w:ascii="Verdana" w:hAnsi="Verdana" w:cs="Verdana"/>
                <w:sz w:val="22"/>
                <w:szCs w:val="22"/>
                <w:lang w:val="en-GB"/>
              </w:rPr>
            </w:pPr>
            <w:r>
              <w:rPr>
                <w:rFonts w:ascii="Verdana" w:hAnsi="Verdana" w:cs="Verdana"/>
                <w:sz w:val="22"/>
                <w:szCs w:val="22"/>
                <w:lang w:val="en-GB"/>
              </w:rPr>
              <w:t>4</w:t>
            </w:r>
            <w:r w:rsidR="004E0014">
              <w:rPr>
                <w:rFonts w:ascii="Verdana" w:hAnsi="Verdana" w:cs="Verdana"/>
                <w:sz w:val="22"/>
                <w:szCs w:val="22"/>
                <w:lang w:val="en-GB"/>
              </w:rPr>
              <w:t xml:space="preserve"> bedroom house</w:t>
            </w:r>
          </w:p>
        </w:tc>
        <w:tc>
          <w:tcPr>
            <w:tcW w:w="1559" w:type="dxa"/>
            <w:tcBorders>
              <w:top w:val="single" w:sz="8" w:space="0" w:color="auto"/>
              <w:left w:val="single" w:sz="8" w:space="0" w:color="auto"/>
              <w:bottom w:val="single" w:sz="8" w:space="0" w:color="auto"/>
              <w:right w:val="single" w:sz="8" w:space="0" w:color="auto"/>
            </w:tcBorders>
          </w:tcPr>
          <w:p w:rsidR="00AB4806" w:rsidRPr="003913A0" w:rsidRDefault="00494A04" w:rsidP="00AB4806">
            <w:pPr>
              <w:rPr>
                <w:rFonts w:ascii="Verdana" w:hAnsi="Verdana" w:cs="Verdana"/>
                <w:sz w:val="22"/>
                <w:szCs w:val="22"/>
                <w:lang w:val="en-GB"/>
              </w:rPr>
            </w:pPr>
            <w:r>
              <w:rPr>
                <w:rFonts w:ascii="Verdana" w:hAnsi="Verdana" w:cs="Verdana"/>
                <w:sz w:val="22"/>
                <w:szCs w:val="22"/>
                <w:lang w:val="en-GB"/>
              </w:rPr>
              <w:t>2</w:t>
            </w:r>
          </w:p>
        </w:tc>
        <w:tc>
          <w:tcPr>
            <w:tcW w:w="4111" w:type="dxa"/>
            <w:tcBorders>
              <w:top w:val="single" w:sz="8" w:space="0" w:color="auto"/>
              <w:left w:val="single" w:sz="8" w:space="0" w:color="auto"/>
              <w:bottom w:val="single" w:sz="8" w:space="0" w:color="auto"/>
              <w:right w:val="single" w:sz="8" w:space="0" w:color="auto"/>
            </w:tcBorders>
          </w:tcPr>
          <w:p w:rsidR="00AB4806" w:rsidRPr="003913A0" w:rsidRDefault="00494A04" w:rsidP="004E0014">
            <w:pPr>
              <w:rPr>
                <w:rFonts w:ascii="Verdana" w:hAnsi="Verdana" w:cs="Verdana"/>
                <w:sz w:val="22"/>
                <w:szCs w:val="22"/>
                <w:lang w:val="en-GB"/>
              </w:rPr>
            </w:pPr>
            <w:r>
              <w:rPr>
                <w:rFonts w:ascii="Verdana" w:hAnsi="Verdana" w:cs="Verdana"/>
                <w:sz w:val="22"/>
                <w:szCs w:val="22"/>
                <w:lang w:val="en-GB"/>
              </w:rPr>
              <w:t>£295,000 - £665,000</w:t>
            </w:r>
          </w:p>
        </w:tc>
      </w:tr>
      <w:tr w:rsidR="000D57C5" w:rsidRPr="003913A0" w:rsidTr="00973C18">
        <w:tc>
          <w:tcPr>
            <w:tcW w:w="4008" w:type="dxa"/>
            <w:tcBorders>
              <w:top w:val="single" w:sz="8" w:space="0" w:color="auto"/>
              <w:left w:val="single" w:sz="8" w:space="0" w:color="auto"/>
              <w:bottom w:val="single" w:sz="8" w:space="0" w:color="auto"/>
              <w:right w:val="nil"/>
            </w:tcBorders>
          </w:tcPr>
          <w:p w:rsidR="000D57C5" w:rsidRPr="003913A0" w:rsidRDefault="00494A04" w:rsidP="004E0014">
            <w:pPr>
              <w:rPr>
                <w:rFonts w:ascii="Verdana" w:hAnsi="Verdana" w:cs="Verdana"/>
                <w:sz w:val="22"/>
                <w:szCs w:val="22"/>
                <w:lang w:val="en-GB"/>
              </w:rPr>
            </w:pPr>
            <w:r>
              <w:rPr>
                <w:rFonts w:ascii="Verdana" w:hAnsi="Verdana" w:cs="Verdana"/>
                <w:sz w:val="22"/>
                <w:szCs w:val="22"/>
                <w:lang w:val="en-GB"/>
              </w:rPr>
              <w:t>5</w:t>
            </w:r>
            <w:r w:rsidR="000D57C5">
              <w:rPr>
                <w:rFonts w:ascii="Verdana" w:hAnsi="Verdana" w:cs="Verdana"/>
                <w:sz w:val="22"/>
                <w:szCs w:val="22"/>
                <w:lang w:val="en-GB"/>
              </w:rPr>
              <w:t xml:space="preserve"> bedroom </w:t>
            </w:r>
            <w:r w:rsidR="004E0014">
              <w:rPr>
                <w:rFonts w:ascii="Verdana" w:hAnsi="Verdana" w:cs="Verdana"/>
                <w:sz w:val="22"/>
                <w:szCs w:val="22"/>
                <w:lang w:val="en-GB"/>
              </w:rPr>
              <w:t>house</w:t>
            </w:r>
          </w:p>
        </w:tc>
        <w:tc>
          <w:tcPr>
            <w:tcW w:w="1559" w:type="dxa"/>
            <w:tcBorders>
              <w:top w:val="single" w:sz="8" w:space="0" w:color="auto"/>
              <w:left w:val="single" w:sz="8" w:space="0" w:color="auto"/>
              <w:bottom w:val="single" w:sz="8" w:space="0" w:color="auto"/>
              <w:right w:val="single" w:sz="8" w:space="0" w:color="auto"/>
            </w:tcBorders>
          </w:tcPr>
          <w:p w:rsidR="000D57C5" w:rsidRPr="003913A0" w:rsidRDefault="00494A04" w:rsidP="00973C18">
            <w:pPr>
              <w:rPr>
                <w:rFonts w:ascii="Verdana" w:hAnsi="Verdana" w:cs="Verdana"/>
                <w:sz w:val="22"/>
                <w:szCs w:val="22"/>
                <w:lang w:val="en-GB"/>
              </w:rPr>
            </w:pPr>
            <w:r>
              <w:rPr>
                <w:rFonts w:ascii="Verdana" w:hAnsi="Verdana" w:cs="Verdana"/>
                <w:sz w:val="22"/>
                <w:szCs w:val="22"/>
                <w:lang w:val="en-GB"/>
              </w:rPr>
              <w:t>3</w:t>
            </w:r>
          </w:p>
        </w:tc>
        <w:tc>
          <w:tcPr>
            <w:tcW w:w="4111" w:type="dxa"/>
            <w:tcBorders>
              <w:top w:val="single" w:sz="8" w:space="0" w:color="auto"/>
              <w:left w:val="single" w:sz="8" w:space="0" w:color="auto"/>
              <w:bottom w:val="single" w:sz="8" w:space="0" w:color="auto"/>
              <w:right w:val="single" w:sz="8" w:space="0" w:color="auto"/>
            </w:tcBorders>
          </w:tcPr>
          <w:p w:rsidR="000D57C5" w:rsidRPr="003913A0" w:rsidRDefault="00494A04" w:rsidP="004E0014">
            <w:pPr>
              <w:rPr>
                <w:rFonts w:ascii="Verdana" w:hAnsi="Verdana" w:cs="Verdana"/>
                <w:sz w:val="22"/>
                <w:szCs w:val="22"/>
                <w:lang w:val="en-GB"/>
              </w:rPr>
            </w:pPr>
            <w:r>
              <w:rPr>
                <w:rFonts w:ascii="Verdana" w:hAnsi="Verdana" w:cs="Verdana"/>
                <w:sz w:val="22"/>
                <w:szCs w:val="22"/>
                <w:lang w:val="en-GB"/>
              </w:rPr>
              <w:t>£595,000 - £895,000</w:t>
            </w:r>
          </w:p>
        </w:tc>
      </w:tr>
    </w:tbl>
    <w:p w:rsidR="0025239A" w:rsidRDefault="0025239A" w:rsidP="0025239A">
      <w:pPr>
        <w:rPr>
          <w:rFonts w:ascii="Verdana" w:hAnsi="Verdana" w:cs="Verdana"/>
          <w:sz w:val="22"/>
          <w:szCs w:val="22"/>
          <w:lang w:val="en-GB"/>
        </w:rPr>
      </w:pPr>
    </w:p>
    <w:p w:rsidR="002D16B8" w:rsidRPr="00FD4A35" w:rsidRDefault="008530CE" w:rsidP="0025239A">
      <w:pPr>
        <w:rPr>
          <w:rFonts w:ascii="Verdana" w:hAnsi="Verdana" w:cs="Verdana"/>
          <w:lang w:val="en-GB"/>
        </w:rPr>
      </w:pPr>
      <w:r w:rsidRPr="00FD4A35">
        <w:rPr>
          <w:rFonts w:ascii="Verdana" w:hAnsi="Verdana" w:cs="Verdana"/>
          <w:lang w:val="en-GB"/>
        </w:rPr>
        <w:t>This represents just over 0.5</w:t>
      </w:r>
      <w:r w:rsidR="002D16B8" w:rsidRPr="00FD4A35">
        <w:rPr>
          <w:rFonts w:ascii="Verdana" w:hAnsi="Verdana" w:cs="Verdana"/>
          <w:lang w:val="en-GB"/>
        </w:rPr>
        <w:t>% of total private housing stock in the parish.</w:t>
      </w:r>
      <w:r w:rsidR="002B2F91" w:rsidRPr="00FD4A35">
        <w:rPr>
          <w:rFonts w:ascii="Verdana" w:hAnsi="Verdana" w:cs="Verdana"/>
          <w:lang w:val="en-GB"/>
        </w:rPr>
        <w:t xml:space="preserve"> </w:t>
      </w:r>
      <w:r w:rsidRPr="00FD4A35">
        <w:rPr>
          <w:rFonts w:ascii="Verdana" w:hAnsi="Verdana" w:cs="Verdana"/>
          <w:lang w:val="en-GB"/>
        </w:rPr>
        <w:t>None of the properties were being marketed as shared ownership or retirement properties.</w:t>
      </w:r>
    </w:p>
    <w:p w:rsidR="008530CE" w:rsidRDefault="008530CE" w:rsidP="0025239A">
      <w:pPr>
        <w:rPr>
          <w:rFonts w:ascii="Verdana" w:hAnsi="Verdana" w:cs="Verdana"/>
          <w:sz w:val="22"/>
          <w:szCs w:val="22"/>
          <w:lang w:val="en-GB"/>
        </w:rPr>
      </w:pPr>
    </w:p>
    <w:p w:rsidR="009D2C89" w:rsidRPr="004F25E1" w:rsidRDefault="0052597E">
      <w:pPr>
        <w:rPr>
          <w:rFonts w:ascii="Verdana" w:hAnsi="Verdana" w:cs="Verdana"/>
          <w:b/>
          <w:bCs/>
          <w:iCs/>
          <w:sz w:val="22"/>
          <w:szCs w:val="22"/>
          <w:lang w:val="en-GB"/>
        </w:rPr>
      </w:pPr>
      <w:r w:rsidRPr="00625155">
        <w:rPr>
          <w:rFonts w:ascii="Verdana" w:hAnsi="Verdana" w:cs="Verdana"/>
          <w:b/>
          <w:bCs/>
          <w:iCs/>
          <w:sz w:val="22"/>
          <w:szCs w:val="22"/>
          <w:lang w:val="en-GB"/>
        </w:rPr>
        <w:t>3</w:t>
      </w:r>
      <w:r w:rsidR="004F25E1" w:rsidRPr="00625155">
        <w:rPr>
          <w:rFonts w:ascii="Verdana" w:hAnsi="Verdana" w:cs="Verdana"/>
          <w:b/>
          <w:bCs/>
          <w:iCs/>
          <w:sz w:val="22"/>
          <w:szCs w:val="22"/>
          <w:lang w:val="en-GB"/>
        </w:rPr>
        <w:t>.4</w:t>
      </w:r>
      <w:r w:rsidR="004F25E1" w:rsidRPr="004F25E1">
        <w:rPr>
          <w:rFonts w:ascii="Verdana" w:hAnsi="Verdana" w:cs="Verdana"/>
          <w:b/>
          <w:bCs/>
          <w:iCs/>
          <w:sz w:val="22"/>
          <w:szCs w:val="22"/>
          <w:lang w:val="en-GB"/>
        </w:rPr>
        <w:tab/>
      </w:r>
      <w:r w:rsidR="009D2C89" w:rsidRPr="004F25E1">
        <w:rPr>
          <w:rFonts w:ascii="Verdana" w:hAnsi="Verdana" w:cs="Verdana"/>
          <w:b/>
          <w:bCs/>
          <w:iCs/>
          <w:sz w:val="22"/>
          <w:szCs w:val="22"/>
          <w:lang w:val="en-GB"/>
        </w:rPr>
        <w:t>Property sales over last 3 years</w:t>
      </w:r>
    </w:p>
    <w:p w:rsidR="004F25E1" w:rsidRDefault="004F25E1">
      <w:pPr>
        <w:rPr>
          <w:rFonts w:ascii="Verdana" w:hAnsi="Verdana" w:cs="Verdana"/>
          <w:sz w:val="22"/>
          <w:szCs w:val="22"/>
          <w:lang w:val="en-GB"/>
        </w:rPr>
      </w:pPr>
    </w:p>
    <w:p w:rsidR="009D2C89" w:rsidRPr="00FD4A35" w:rsidRDefault="009D2C89">
      <w:pPr>
        <w:rPr>
          <w:rFonts w:ascii="Verdana" w:hAnsi="Verdana" w:cs="Verdana"/>
          <w:lang w:val="en-GB"/>
        </w:rPr>
      </w:pPr>
      <w:r w:rsidRPr="00FD4A35">
        <w:rPr>
          <w:rFonts w:ascii="Verdana" w:hAnsi="Verdana" w:cs="Verdana"/>
          <w:lang w:val="en-GB"/>
        </w:rPr>
        <w:t>Property sales over the last 3 years can be broken down as follows</w:t>
      </w:r>
      <w:r w:rsidRPr="00FD4A35">
        <w:rPr>
          <w:kern w:val="0"/>
          <w:vertAlign w:val="superscript"/>
        </w:rPr>
        <w:footnoteReference w:id="3"/>
      </w:r>
      <w:r w:rsidRPr="00FD4A35">
        <w:rPr>
          <w:rFonts w:ascii="Verdana" w:hAnsi="Verdana" w:cs="Verdana"/>
          <w:lang w:val="en-GB"/>
        </w:rPr>
        <w:t>:</w:t>
      </w:r>
    </w:p>
    <w:p w:rsidR="009D2C89" w:rsidRDefault="009D2C89">
      <w:pPr>
        <w:rPr>
          <w:rFonts w:ascii="Verdana" w:hAnsi="Verdana" w:cs="Verdana"/>
          <w:b/>
          <w:bCs/>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2987"/>
        <w:gridCol w:w="2230"/>
        <w:gridCol w:w="2230"/>
        <w:gridCol w:w="2231"/>
      </w:tblGrid>
      <w:tr w:rsidR="009D2C89" w:rsidRPr="009D2C89" w:rsidTr="00F33415">
        <w:tc>
          <w:tcPr>
            <w:tcW w:w="2987" w:type="dxa"/>
            <w:tcBorders>
              <w:top w:val="single" w:sz="8" w:space="0" w:color="auto"/>
              <w:left w:val="single" w:sz="8" w:space="0" w:color="auto"/>
              <w:bottom w:val="single" w:sz="8" w:space="0" w:color="auto"/>
              <w:right w:val="nil"/>
            </w:tcBorders>
          </w:tcPr>
          <w:p w:rsidR="009D2C89" w:rsidRPr="009D2C89" w:rsidRDefault="009D2C89">
            <w:pPr>
              <w:overflowPunct/>
              <w:autoSpaceDE w:val="0"/>
              <w:autoSpaceDN w:val="0"/>
              <w:rPr>
                <w:rFonts w:ascii="Verdana" w:hAnsi="Verdana" w:cs="Verdana"/>
                <w:lang w:val="en-GB"/>
              </w:rPr>
            </w:pPr>
          </w:p>
        </w:tc>
        <w:tc>
          <w:tcPr>
            <w:tcW w:w="2230" w:type="dxa"/>
            <w:tcBorders>
              <w:top w:val="single" w:sz="8" w:space="0" w:color="auto"/>
              <w:left w:val="single" w:sz="8" w:space="0" w:color="auto"/>
              <w:bottom w:val="single" w:sz="8" w:space="0" w:color="auto"/>
              <w:right w:val="nil"/>
            </w:tcBorders>
          </w:tcPr>
          <w:p w:rsidR="009D2C89" w:rsidRPr="009D2C89" w:rsidRDefault="001004F5" w:rsidP="009E332A">
            <w:pPr>
              <w:rPr>
                <w:rFonts w:ascii="Verdana" w:hAnsi="Verdana" w:cs="Verdana"/>
                <w:lang w:val="en-GB"/>
              </w:rPr>
            </w:pPr>
            <w:r>
              <w:rPr>
                <w:rFonts w:ascii="Verdana" w:hAnsi="Verdana" w:cs="Verdana"/>
                <w:b/>
                <w:bCs/>
                <w:sz w:val="22"/>
                <w:szCs w:val="22"/>
                <w:lang w:val="en-GB"/>
              </w:rPr>
              <w:t>201</w:t>
            </w:r>
            <w:r w:rsidR="000E43BE">
              <w:rPr>
                <w:rFonts w:ascii="Verdana" w:hAnsi="Verdana" w:cs="Verdana"/>
                <w:b/>
                <w:bCs/>
                <w:sz w:val="22"/>
                <w:szCs w:val="22"/>
                <w:lang w:val="en-GB"/>
              </w:rPr>
              <w:t>3</w:t>
            </w:r>
          </w:p>
        </w:tc>
        <w:tc>
          <w:tcPr>
            <w:tcW w:w="2230" w:type="dxa"/>
            <w:tcBorders>
              <w:top w:val="single" w:sz="8" w:space="0" w:color="auto"/>
              <w:left w:val="single" w:sz="8" w:space="0" w:color="auto"/>
              <w:bottom w:val="single" w:sz="8" w:space="0" w:color="auto"/>
              <w:right w:val="nil"/>
            </w:tcBorders>
          </w:tcPr>
          <w:p w:rsidR="009D2C89" w:rsidRPr="009D2C89" w:rsidRDefault="000E43BE">
            <w:pPr>
              <w:rPr>
                <w:rFonts w:ascii="Verdana" w:hAnsi="Verdana" w:cs="Verdana"/>
                <w:lang w:val="en-GB"/>
              </w:rPr>
            </w:pPr>
            <w:r>
              <w:rPr>
                <w:rFonts w:ascii="Verdana" w:hAnsi="Verdana" w:cs="Verdana"/>
                <w:b/>
                <w:bCs/>
                <w:sz w:val="22"/>
                <w:szCs w:val="22"/>
                <w:lang w:val="en-GB"/>
              </w:rPr>
              <w:t>2014</w:t>
            </w:r>
          </w:p>
        </w:tc>
        <w:tc>
          <w:tcPr>
            <w:tcW w:w="2231" w:type="dxa"/>
            <w:tcBorders>
              <w:top w:val="single" w:sz="8" w:space="0" w:color="auto"/>
              <w:left w:val="single" w:sz="8" w:space="0" w:color="auto"/>
              <w:bottom w:val="single" w:sz="8" w:space="0" w:color="auto"/>
              <w:right w:val="single" w:sz="8" w:space="0" w:color="auto"/>
            </w:tcBorders>
          </w:tcPr>
          <w:p w:rsidR="009D2C89" w:rsidRPr="009D2C89" w:rsidRDefault="006F30FD" w:rsidP="006F30FD">
            <w:pPr>
              <w:rPr>
                <w:rFonts w:ascii="Verdana" w:hAnsi="Verdana" w:cs="Verdana"/>
                <w:lang w:val="en-GB"/>
              </w:rPr>
            </w:pPr>
            <w:r>
              <w:rPr>
                <w:rFonts w:ascii="Verdana" w:hAnsi="Verdana" w:cs="Verdana"/>
                <w:b/>
                <w:bCs/>
                <w:sz w:val="22"/>
                <w:szCs w:val="22"/>
                <w:lang w:val="en-GB"/>
              </w:rPr>
              <w:t>20</w:t>
            </w:r>
            <w:r w:rsidR="000E43BE">
              <w:rPr>
                <w:rFonts w:ascii="Verdana" w:hAnsi="Verdana" w:cs="Verdana"/>
                <w:b/>
                <w:bCs/>
                <w:sz w:val="22"/>
                <w:szCs w:val="22"/>
                <w:lang w:val="en-GB"/>
              </w:rPr>
              <w:t>15</w:t>
            </w:r>
          </w:p>
        </w:tc>
      </w:tr>
      <w:tr w:rsidR="00F42624" w:rsidRPr="009D2C89" w:rsidTr="00026838">
        <w:tc>
          <w:tcPr>
            <w:tcW w:w="2987" w:type="dxa"/>
            <w:tcBorders>
              <w:top w:val="single" w:sz="8" w:space="0" w:color="auto"/>
              <w:left w:val="single" w:sz="8" w:space="0" w:color="auto"/>
              <w:bottom w:val="single" w:sz="8" w:space="0" w:color="auto"/>
              <w:right w:val="nil"/>
            </w:tcBorders>
          </w:tcPr>
          <w:p w:rsidR="00F42624" w:rsidRDefault="006F30FD" w:rsidP="00026838">
            <w:pPr>
              <w:rPr>
                <w:rFonts w:ascii="Verdana" w:hAnsi="Verdana" w:cs="Verdana"/>
                <w:b/>
                <w:bCs/>
                <w:sz w:val="22"/>
                <w:szCs w:val="22"/>
                <w:lang w:val="en-GB"/>
              </w:rPr>
            </w:pPr>
            <w:r>
              <w:rPr>
                <w:rFonts w:ascii="Verdana" w:hAnsi="Verdana" w:cs="Verdana"/>
                <w:b/>
                <w:bCs/>
                <w:sz w:val="22"/>
                <w:szCs w:val="22"/>
                <w:lang w:val="en-GB"/>
              </w:rPr>
              <w:t>£</w:t>
            </w:r>
            <w:r w:rsidR="00F42624">
              <w:rPr>
                <w:rFonts w:ascii="Verdana" w:hAnsi="Verdana" w:cs="Verdana"/>
                <w:b/>
                <w:bCs/>
                <w:sz w:val="22"/>
                <w:szCs w:val="22"/>
                <w:lang w:val="en-GB"/>
              </w:rPr>
              <w:t>100,000 and under</w:t>
            </w:r>
          </w:p>
        </w:tc>
        <w:tc>
          <w:tcPr>
            <w:tcW w:w="2230" w:type="dxa"/>
            <w:tcBorders>
              <w:top w:val="single" w:sz="8" w:space="0" w:color="auto"/>
              <w:left w:val="single" w:sz="8" w:space="0" w:color="auto"/>
              <w:bottom w:val="single" w:sz="8" w:space="0" w:color="auto"/>
              <w:right w:val="nil"/>
            </w:tcBorders>
          </w:tcPr>
          <w:p w:rsidR="00F42624" w:rsidRPr="003A0746" w:rsidRDefault="00110F8B" w:rsidP="00026838">
            <w:pPr>
              <w:overflowPunct/>
              <w:autoSpaceDE w:val="0"/>
              <w:autoSpaceDN w:val="0"/>
              <w:rPr>
                <w:rFonts w:ascii="Verdana" w:hAnsi="Verdana" w:cs="Verdana"/>
                <w:sz w:val="22"/>
                <w:szCs w:val="22"/>
                <w:lang w:val="en-GB"/>
              </w:rPr>
            </w:pPr>
            <w:r>
              <w:rPr>
                <w:rFonts w:ascii="Verdana" w:hAnsi="Verdana" w:cs="Verdana"/>
                <w:sz w:val="22"/>
                <w:szCs w:val="22"/>
                <w:lang w:val="en-GB"/>
              </w:rPr>
              <w:t>0</w:t>
            </w:r>
          </w:p>
        </w:tc>
        <w:tc>
          <w:tcPr>
            <w:tcW w:w="2230" w:type="dxa"/>
            <w:tcBorders>
              <w:top w:val="single" w:sz="8" w:space="0" w:color="auto"/>
              <w:left w:val="single" w:sz="8" w:space="0" w:color="auto"/>
              <w:bottom w:val="single" w:sz="8" w:space="0" w:color="auto"/>
              <w:right w:val="nil"/>
            </w:tcBorders>
          </w:tcPr>
          <w:p w:rsidR="00F42624" w:rsidRPr="003A0746" w:rsidRDefault="00110F8B" w:rsidP="00026838">
            <w:pPr>
              <w:overflowPunct/>
              <w:autoSpaceDE w:val="0"/>
              <w:autoSpaceDN w:val="0"/>
              <w:rPr>
                <w:rFonts w:ascii="Verdana" w:hAnsi="Verdana" w:cs="Verdana"/>
                <w:sz w:val="22"/>
                <w:szCs w:val="22"/>
                <w:lang w:val="en-GB"/>
              </w:rPr>
            </w:pPr>
            <w:r>
              <w:rPr>
                <w:rFonts w:ascii="Verdana" w:hAnsi="Verdana" w:cs="Verdana"/>
                <w:sz w:val="22"/>
                <w:szCs w:val="22"/>
                <w:lang w:val="en-GB"/>
              </w:rPr>
              <w:t>0</w:t>
            </w:r>
          </w:p>
        </w:tc>
        <w:tc>
          <w:tcPr>
            <w:tcW w:w="2231" w:type="dxa"/>
            <w:tcBorders>
              <w:top w:val="single" w:sz="8" w:space="0" w:color="auto"/>
              <w:left w:val="single" w:sz="8" w:space="0" w:color="auto"/>
              <w:bottom w:val="single" w:sz="8" w:space="0" w:color="auto"/>
              <w:right w:val="single" w:sz="8" w:space="0" w:color="auto"/>
            </w:tcBorders>
          </w:tcPr>
          <w:p w:rsidR="00F42624" w:rsidRPr="003A0746" w:rsidRDefault="00110F8B" w:rsidP="00026838">
            <w:pPr>
              <w:overflowPunct/>
              <w:autoSpaceDE w:val="0"/>
              <w:autoSpaceDN w:val="0"/>
              <w:rPr>
                <w:rFonts w:ascii="Verdana" w:hAnsi="Verdana" w:cs="Verdana"/>
                <w:sz w:val="22"/>
                <w:szCs w:val="22"/>
                <w:lang w:val="en-GB"/>
              </w:rPr>
            </w:pPr>
            <w:r>
              <w:rPr>
                <w:rFonts w:ascii="Verdana" w:hAnsi="Verdana" w:cs="Verdana"/>
                <w:sz w:val="22"/>
                <w:szCs w:val="22"/>
                <w:lang w:val="en-GB"/>
              </w:rPr>
              <w:t>0</w:t>
            </w:r>
          </w:p>
        </w:tc>
      </w:tr>
      <w:tr w:rsidR="009E332A" w:rsidRPr="009D2C89" w:rsidTr="00F33415">
        <w:tc>
          <w:tcPr>
            <w:tcW w:w="2987" w:type="dxa"/>
            <w:tcBorders>
              <w:top w:val="single" w:sz="8" w:space="0" w:color="auto"/>
              <w:left w:val="single" w:sz="8" w:space="0" w:color="auto"/>
              <w:bottom w:val="single" w:sz="8" w:space="0" w:color="auto"/>
              <w:right w:val="nil"/>
            </w:tcBorders>
          </w:tcPr>
          <w:p w:rsidR="009E332A" w:rsidRDefault="006F30FD" w:rsidP="00F42624">
            <w:pPr>
              <w:rPr>
                <w:rFonts w:ascii="Verdana" w:hAnsi="Verdana" w:cs="Verdana"/>
                <w:b/>
                <w:bCs/>
                <w:sz w:val="22"/>
                <w:szCs w:val="22"/>
                <w:lang w:val="en-GB"/>
              </w:rPr>
            </w:pPr>
            <w:r>
              <w:rPr>
                <w:rFonts w:ascii="Verdana" w:hAnsi="Verdana" w:cs="Verdana"/>
                <w:b/>
                <w:bCs/>
                <w:sz w:val="22"/>
                <w:szCs w:val="22"/>
                <w:lang w:val="en-GB"/>
              </w:rPr>
              <w:t>£</w:t>
            </w:r>
            <w:r w:rsidR="00F42624">
              <w:rPr>
                <w:rFonts w:ascii="Verdana" w:hAnsi="Verdana" w:cs="Verdana"/>
                <w:b/>
                <w:bCs/>
                <w:sz w:val="22"/>
                <w:szCs w:val="22"/>
                <w:lang w:val="en-GB"/>
              </w:rPr>
              <w:t xml:space="preserve">100,001 – </w:t>
            </w:r>
            <w:r w:rsidR="009E332A">
              <w:rPr>
                <w:rFonts w:ascii="Verdana" w:hAnsi="Verdana" w:cs="Verdana"/>
                <w:b/>
                <w:bCs/>
                <w:sz w:val="22"/>
                <w:szCs w:val="22"/>
                <w:lang w:val="en-GB"/>
              </w:rPr>
              <w:t>1</w:t>
            </w:r>
            <w:r w:rsidR="00602091">
              <w:rPr>
                <w:rFonts w:ascii="Verdana" w:hAnsi="Verdana" w:cs="Verdana"/>
                <w:b/>
                <w:bCs/>
                <w:sz w:val="22"/>
                <w:szCs w:val="22"/>
                <w:lang w:val="en-GB"/>
              </w:rPr>
              <w:t>5</w:t>
            </w:r>
            <w:r w:rsidR="00F42624">
              <w:rPr>
                <w:rFonts w:ascii="Verdana" w:hAnsi="Verdana" w:cs="Verdana"/>
                <w:b/>
                <w:bCs/>
                <w:sz w:val="22"/>
                <w:szCs w:val="22"/>
                <w:lang w:val="en-GB"/>
              </w:rPr>
              <w:t>0,000</w:t>
            </w:r>
          </w:p>
        </w:tc>
        <w:tc>
          <w:tcPr>
            <w:tcW w:w="2230" w:type="dxa"/>
            <w:tcBorders>
              <w:top w:val="single" w:sz="8" w:space="0" w:color="auto"/>
              <w:left w:val="single" w:sz="8" w:space="0" w:color="auto"/>
              <w:bottom w:val="single" w:sz="8" w:space="0" w:color="auto"/>
              <w:right w:val="nil"/>
            </w:tcBorders>
          </w:tcPr>
          <w:p w:rsidR="009E332A" w:rsidRPr="003A0746" w:rsidRDefault="00110F8B">
            <w:pPr>
              <w:overflowPunct/>
              <w:autoSpaceDE w:val="0"/>
              <w:autoSpaceDN w:val="0"/>
              <w:rPr>
                <w:rFonts w:ascii="Verdana" w:hAnsi="Verdana" w:cs="Verdana"/>
                <w:sz w:val="22"/>
                <w:szCs w:val="22"/>
                <w:lang w:val="en-GB"/>
              </w:rPr>
            </w:pPr>
            <w:r>
              <w:rPr>
                <w:rFonts w:ascii="Verdana" w:hAnsi="Verdana" w:cs="Verdana"/>
                <w:sz w:val="22"/>
                <w:szCs w:val="22"/>
                <w:lang w:val="en-GB"/>
              </w:rPr>
              <w:t>0</w:t>
            </w:r>
          </w:p>
        </w:tc>
        <w:tc>
          <w:tcPr>
            <w:tcW w:w="2230" w:type="dxa"/>
            <w:tcBorders>
              <w:top w:val="single" w:sz="8" w:space="0" w:color="auto"/>
              <w:left w:val="single" w:sz="8" w:space="0" w:color="auto"/>
              <w:bottom w:val="single" w:sz="8" w:space="0" w:color="auto"/>
              <w:right w:val="nil"/>
            </w:tcBorders>
          </w:tcPr>
          <w:p w:rsidR="009E332A" w:rsidRPr="003A0746" w:rsidRDefault="00110F8B" w:rsidP="00811099">
            <w:pPr>
              <w:overflowPunct/>
              <w:autoSpaceDE w:val="0"/>
              <w:autoSpaceDN w:val="0"/>
              <w:rPr>
                <w:rFonts w:ascii="Verdana" w:hAnsi="Verdana" w:cs="Verdana"/>
                <w:sz w:val="22"/>
                <w:szCs w:val="22"/>
                <w:lang w:val="en-GB"/>
              </w:rPr>
            </w:pPr>
            <w:r>
              <w:rPr>
                <w:rFonts w:ascii="Verdana" w:hAnsi="Verdana" w:cs="Verdana"/>
                <w:sz w:val="22"/>
                <w:szCs w:val="22"/>
                <w:lang w:val="en-GB"/>
              </w:rPr>
              <w:t>1</w:t>
            </w:r>
          </w:p>
        </w:tc>
        <w:tc>
          <w:tcPr>
            <w:tcW w:w="2231" w:type="dxa"/>
            <w:tcBorders>
              <w:top w:val="single" w:sz="8" w:space="0" w:color="auto"/>
              <w:left w:val="single" w:sz="8" w:space="0" w:color="auto"/>
              <w:bottom w:val="single" w:sz="8" w:space="0" w:color="auto"/>
              <w:right w:val="single" w:sz="8" w:space="0" w:color="auto"/>
            </w:tcBorders>
          </w:tcPr>
          <w:p w:rsidR="009E332A" w:rsidRPr="003A0746" w:rsidRDefault="00110F8B" w:rsidP="00811099">
            <w:pPr>
              <w:overflowPunct/>
              <w:autoSpaceDE w:val="0"/>
              <w:autoSpaceDN w:val="0"/>
              <w:rPr>
                <w:rFonts w:ascii="Verdana" w:hAnsi="Verdana" w:cs="Verdana"/>
                <w:sz w:val="22"/>
                <w:szCs w:val="22"/>
                <w:lang w:val="en-GB"/>
              </w:rPr>
            </w:pPr>
            <w:r>
              <w:rPr>
                <w:rFonts w:ascii="Verdana" w:hAnsi="Verdana" w:cs="Verdana"/>
                <w:sz w:val="22"/>
                <w:szCs w:val="22"/>
                <w:lang w:val="en-GB"/>
              </w:rPr>
              <w:t>0</w:t>
            </w:r>
          </w:p>
        </w:tc>
      </w:tr>
      <w:tr w:rsidR="00B95256" w:rsidRPr="009D2C89" w:rsidTr="00F33415">
        <w:tc>
          <w:tcPr>
            <w:tcW w:w="2987" w:type="dxa"/>
            <w:tcBorders>
              <w:top w:val="single" w:sz="8" w:space="0" w:color="auto"/>
              <w:left w:val="single" w:sz="8" w:space="0" w:color="auto"/>
              <w:bottom w:val="single" w:sz="8" w:space="0" w:color="auto"/>
              <w:right w:val="nil"/>
            </w:tcBorders>
          </w:tcPr>
          <w:p w:rsidR="00B95256" w:rsidRPr="009D2C89" w:rsidRDefault="006F30FD">
            <w:pPr>
              <w:rPr>
                <w:rFonts w:ascii="Verdana" w:hAnsi="Verdana" w:cs="Verdana"/>
                <w:b/>
                <w:bCs/>
                <w:sz w:val="22"/>
                <w:szCs w:val="22"/>
                <w:lang w:val="en-GB"/>
              </w:rPr>
            </w:pPr>
            <w:r>
              <w:rPr>
                <w:rFonts w:ascii="Verdana" w:hAnsi="Verdana" w:cs="Verdana"/>
                <w:b/>
                <w:bCs/>
                <w:sz w:val="22"/>
                <w:szCs w:val="22"/>
                <w:lang w:val="en-GB"/>
              </w:rPr>
              <w:t>£</w:t>
            </w:r>
            <w:r w:rsidR="00B95256">
              <w:rPr>
                <w:rFonts w:ascii="Verdana" w:hAnsi="Verdana" w:cs="Verdana"/>
                <w:b/>
                <w:bCs/>
                <w:sz w:val="22"/>
                <w:szCs w:val="22"/>
                <w:lang w:val="en-GB"/>
              </w:rPr>
              <w:t>150,001 – 200,000</w:t>
            </w:r>
          </w:p>
        </w:tc>
        <w:tc>
          <w:tcPr>
            <w:tcW w:w="2230" w:type="dxa"/>
            <w:tcBorders>
              <w:top w:val="single" w:sz="8" w:space="0" w:color="auto"/>
              <w:left w:val="single" w:sz="8" w:space="0" w:color="auto"/>
              <w:bottom w:val="single" w:sz="8" w:space="0" w:color="auto"/>
              <w:right w:val="nil"/>
            </w:tcBorders>
          </w:tcPr>
          <w:p w:rsidR="00B95256" w:rsidRPr="003A0746" w:rsidRDefault="00110F8B" w:rsidP="00BC5AE7">
            <w:pPr>
              <w:overflowPunct/>
              <w:autoSpaceDE w:val="0"/>
              <w:autoSpaceDN w:val="0"/>
              <w:rPr>
                <w:rFonts w:ascii="Verdana" w:hAnsi="Verdana" w:cs="Verdana"/>
                <w:sz w:val="22"/>
                <w:szCs w:val="22"/>
                <w:lang w:val="en-GB"/>
              </w:rPr>
            </w:pPr>
            <w:r>
              <w:rPr>
                <w:rFonts w:ascii="Verdana" w:hAnsi="Verdana" w:cs="Verdana"/>
                <w:sz w:val="22"/>
                <w:szCs w:val="22"/>
                <w:lang w:val="en-GB"/>
              </w:rPr>
              <w:t>13</w:t>
            </w:r>
          </w:p>
        </w:tc>
        <w:tc>
          <w:tcPr>
            <w:tcW w:w="2230" w:type="dxa"/>
            <w:tcBorders>
              <w:top w:val="single" w:sz="8" w:space="0" w:color="auto"/>
              <w:left w:val="single" w:sz="8" w:space="0" w:color="auto"/>
              <w:bottom w:val="single" w:sz="8" w:space="0" w:color="auto"/>
              <w:right w:val="nil"/>
            </w:tcBorders>
          </w:tcPr>
          <w:p w:rsidR="00B95256" w:rsidRPr="003A0746" w:rsidRDefault="00110F8B" w:rsidP="00811099">
            <w:pPr>
              <w:overflowPunct/>
              <w:autoSpaceDE w:val="0"/>
              <w:autoSpaceDN w:val="0"/>
              <w:rPr>
                <w:rFonts w:ascii="Verdana" w:hAnsi="Verdana" w:cs="Verdana"/>
                <w:sz w:val="22"/>
                <w:szCs w:val="22"/>
                <w:lang w:val="en-GB"/>
              </w:rPr>
            </w:pPr>
            <w:r>
              <w:rPr>
                <w:rFonts w:ascii="Verdana" w:hAnsi="Verdana" w:cs="Verdana"/>
                <w:sz w:val="22"/>
                <w:szCs w:val="22"/>
                <w:lang w:val="en-GB"/>
              </w:rPr>
              <w:t>9</w:t>
            </w:r>
          </w:p>
        </w:tc>
        <w:tc>
          <w:tcPr>
            <w:tcW w:w="2231" w:type="dxa"/>
            <w:tcBorders>
              <w:top w:val="single" w:sz="8" w:space="0" w:color="auto"/>
              <w:left w:val="single" w:sz="8" w:space="0" w:color="auto"/>
              <w:bottom w:val="single" w:sz="8" w:space="0" w:color="auto"/>
              <w:right w:val="single" w:sz="8" w:space="0" w:color="auto"/>
            </w:tcBorders>
          </w:tcPr>
          <w:p w:rsidR="00B95256" w:rsidRPr="003A0746" w:rsidRDefault="00110F8B" w:rsidP="00811099">
            <w:pPr>
              <w:overflowPunct/>
              <w:autoSpaceDE w:val="0"/>
              <w:autoSpaceDN w:val="0"/>
              <w:rPr>
                <w:rFonts w:ascii="Verdana" w:hAnsi="Verdana" w:cs="Verdana"/>
                <w:sz w:val="22"/>
                <w:szCs w:val="22"/>
                <w:lang w:val="en-GB"/>
              </w:rPr>
            </w:pPr>
            <w:r>
              <w:rPr>
                <w:rFonts w:ascii="Verdana" w:hAnsi="Verdana" w:cs="Verdana"/>
                <w:sz w:val="22"/>
                <w:szCs w:val="22"/>
                <w:lang w:val="en-GB"/>
              </w:rPr>
              <w:t>5</w:t>
            </w:r>
          </w:p>
        </w:tc>
      </w:tr>
      <w:tr w:rsidR="00B95256" w:rsidRPr="009D2C89" w:rsidTr="00F33415">
        <w:tc>
          <w:tcPr>
            <w:tcW w:w="2987" w:type="dxa"/>
            <w:tcBorders>
              <w:top w:val="single" w:sz="8" w:space="0" w:color="auto"/>
              <w:left w:val="single" w:sz="8" w:space="0" w:color="auto"/>
              <w:bottom w:val="single" w:sz="8" w:space="0" w:color="auto"/>
              <w:right w:val="nil"/>
            </w:tcBorders>
          </w:tcPr>
          <w:p w:rsidR="00B95256" w:rsidRPr="009D2C89" w:rsidRDefault="006F30FD">
            <w:pPr>
              <w:rPr>
                <w:rFonts w:ascii="Verdana" w:hAnsi="Verdana" w:cs="Verdana"/>
                <w:lang w:val="en-GB"/>
              </w:rPr>
            </w:pPr>
            <w:r>
              <w:rPr>
                <w:rFonts w:ascii="Verdana" w:hAnsi="Verdana" w:cs="Verdana"/>
                <w:b/>
                <w:bCs/>
                <w:sz w:val="22"/>
                <w:szCs w:val="22"/>
                <w:lang w:val="en-GB"/>
              </w:rPr>
              <w:t>£</w:t>
            </w:r>
            <w:r w:rsidR="00B95256" w:rsidRPr="009D2C89">
              <w:rPr>
                <w:rFonts w:ascii="Verdana" w:hAnsi="Verdana" w:cs="Verdana"/>
                <w:b/>
                <w:bCs/>
                <w:sz w:val="22"/>
                <w:szCs w:val="22"/>
                <w:lang w:val="en-GB"/>
              </w:rPr>
              <w:t>200,001 – 300,000</w:t>
            </w:r>
          </w:p>
        </w:tc>
        <w:tc>
          <w:tcPr>
            <w:tcW w:w="2230" w:type="dxa"/>
            <w:tcBorders>
              <w:top w:val="single" w:sz="8" w:space="0" w:color="auto"/>
              <w:left w:val="single" w:sz="8" w:space="0" w:color="auto"/>
              <w:bottom w:val="single" w:sz="8" w:space="0" w:color="auto"/>
              <w:right w:val="nil"/>
            </w:tcBorders>
          </w:tcPr>
          <w:p w:rsidR="00B95256" w:rsidRPr="003A0746" w:rsidRDefault="00110F8B">
            <w:pPr>
              <w:overflowPunct/>
              <w:autoSpaceDE w:val="0"/>
              <w:autoSpaceDN w:val="0"/>
              <w:rPr>
                <w:rFonts w:ascii="Verdana" w:hAnsi="Verdana" w:cs="Verdana"/>
                <w:sz w:val="22"/>
                <w:szCs w:val="22"/>
                <w:lang w:val="en-GB"/>
              </w:rPr>
            </w:pPr>
            <w:r>
              <w:rPr>
                <w:rFonts w:ascii="Verdana" w:hAnsi="Verdana" w:cs="Verdana"/>
                <w:sz w:val="22"/>
                <w:szCs w:val="22"/>
                <w:lang w:val="en-GB"/>
              </w:rPr>
              <w:t>13</w:t>
            </w:r>
          </w:p>
        </w:tc>
        <w:tc>
          <w:tcPr>
            <w:tcW w:w="2230" w:type="dxa"/>
            <w:tcBorders>
              <w:top w:val="single" w:sz="8" w:space="0" w:color="auto"/>
              <w:left w:val="single" w:sz="8" w:space="0" w:color="auto"/>
              <w:bottom w:val="single" w:sz="8" w:space="0" w:color="auto"/>
              <w:right w:val="nil"/>
            </w:tcBorders>
          </w:tcPr>
          <w:p w:rsidR="00B95256" w:rsidRPr="003A0746" w:rsidRDefault="00110F8B" w:rsidP="00811099">
            <w:pPr>
              <w:rPr>
                <w:rFonts w:ascii="Verdana" w:hAnsi="Verdana" w:cs="Verdana"/>
                <w:sz w:val="22"/>
                <w:szCs w:val="22"/>
                <w:lang w:val="en-GB"/>
              </w:rPr>
            </w:pPr>
            <w:r>
              <w:rPr>
                <w:rFonts w:ascii="Verdana" w:hAnsi="Verdana" w:cs="Verdana"/>
                <w:sz w:val="22"/>
                <w:szCs w:val="22"/>
                <w:lang w:val="en-GB"/>
              </w:rPr>
              <w:t>10</w:t>
            </w:r>
          </w:p>
        </w:tc>
        <w:tc>
          <w:tcPr>
            <w:tcW w:w="2231" w:type="dxa"/>
            <w:tcBorders>
              <w:top w:val="single" w:sz="8" w:space="0" w:color="auto"/>
              <w:left w:val="single" w:sz="8" w:space="0" w:color="auto"/>
              <w:bottom w:val="single" w:sz="8" w:space="0" w:color="auto"/>
              <w:right w:val="single" w:sz="8" w:space="0" w:color="auto"/>
            </w:tcBorders>
          </w:tcPr>
          <w:p w:rsidR="00B95256" w:rsidRPr="003A0746" w:rsidRDefault="00110F8B" w:rsidP="00811099">
            <w:pPr>
              <w:rPr>
                <w:rFonts w:ascii="Verdana" w:hAnsi="Verdana" w:cs="Verdana"/>
                <w:sz w:val="22"/>
                <w:szCs w:val="22"/>
                <w:lang w:val="en-GB"/>
              </w:rPr>
            </w:pPr>
            <w:r>
              <w:rPr>
                <w:rFonts w:ascii="Verdana" w:hAnsi="Verdana" w:cs="Verdana"/>
                <w:sz w:val="22"/>
                <w:szCs w:val="22"/>
                <w:lang w:val="en-GB"/>
              </w:rPr>
              <w:t>19</w:t>
            </w:r>
          </w:p>
        </w:tc>
      </w:tr>
      <w:tr w:rsidR="000E43BE" w:rsidRPr="009D2C89" w:rsidTr="00F33415">
        <w:tc>
          <w:tcPr>
            <w:tcW w:w="2987" w:type="dxa"/>
            <w:tcBorders>
              <w:top w:val="single" w:sz="8" w:space="0" w:color="auto"/>
              <w:left w:val="single" w:sz="8" w:space="0" w:color="auto"/>
              <w:bottom w:val="single" w:sz="8" w:space="0" w:color="auto"/>
              <w:right w:val="nil"/>
            </w:tcBorders>
          </w:tcPr>
          <w:p w:rsidR="000E43BE" w:rsidRDefault="00110F8B" w:rsidP="009068D5">
            <w:pPr>
              <w:rPr>
                <w:rFonts w:ascii="Verdana" w:hAnsi="Verdana" w:cs="Verdana"/>
                <w:b/>
                <w:bCs/>
                <w:sz w:val="22"/>
                <w:szCs w:val="22"/>
                <w:lang w:val="en-GB"/>
              </w:rPr>
            </w:pPr>
            <w:r>
              <w:rPr>
                <w:rFonts w:ascii="Verdana" w:hAnsi="Verdana" w:cs="Verdana"/>
                <w:b/>
                <w:bCs/>
                <w:sz w:val="22"/>
                <w:szCs w:val="22"/>
                <w:lang w:val="en-GB"/>
              </w:rPr>
              <w:t>£3</w:t>
            </w:r>
            <w:r w:rsidR="000E43BE">
              <w:rPr>
                <w:rFonts w:ascii="Verdana" w:hAnsi="Verdana" w:cs="Verdana"/>
                <w:b/>
                <w:bCs/>
                <w:sz w:val="22"/>
                <w:szCs w:val="22"/>
                <w:lang w:val="en-GB"/>
              </w:rPr>
              <w:t>00,001  +</w:t>
            </w:r>
          </w:p>
        </w:tc>
        <w:tc>
          <w:tcPr>
            <w:tcW w:w="2230" w:type="dxa"/>
            <w:tcBorders>
              <w:top w:val="single" w:sz="8" w:space="0" w:color="auto"/>
              <w:left w:val="single" w:sz="8" w:space="0" w:color="auto"/>
              <w:bottom w:val="single" w:sz="8" w:space="0" w:color="auto"/>
              <w:right w:val="nil"/>
            </w:tcBorders>
          </w:tcPr>
          <w:p w:rsidR="000E43BE" w:rsidRPr="003A0746" w:rsidRDefault="00110F8B" w:rsidP="00811099">
            <w:pPr>
              <w:overflowPunct/>
              <w:autoSpaceDE w:val="0"/>
              <w:autoSpaceDN w:val="0"/>
              <w:rPr>
                <w:rFonts w:ascii="Verdana" w:hAnsi="Verdana" w:cs="Verdana"/>
                <w:sz w:val="22"/>
                <w:szCs w:val="22"/>
                <w:lang w:val="en-GB"/>
              </w:rPr>
            </w:pPr>
            <w:r>
              <w:rPr>
                <w:rFonts w:ascii="Verdana" w:hAnsi="Verdana" w:cs="Verdana"/>
                <w:sz w:val="22"/>
                <w:szCs w:val="22"/>
                <w:lang w:val="en-GB"/>
              </w:rPr>
              <w:t>12</w:t>
            </w:r>
          </w:p>
        </w:tc>
        <w:tc>
          <w:tcPr>
            <w:tcW w:w="2230" w:type="dxa"/>
            <w:tcBorders>
              <w:top w:val="single" w:sz="8" w:space="0" w:color="auto"/>
              <w:left w:val="single" w:sz="8" w:space="0" w:color="auto"/>
              <w:bottom w:val="single" w:sz="8" w:space="0" w:color="auto"/>
              <w:right w:val="nil"/>
            </w:tcBorders>
          </w:tcPr>
          <w:p w:rsidR="000E43BE" w:rsidRPr="003A0746" w:rsidRDefault="00110F8B" w:rsidP="00811099">
            <w:pPr>
              <w:rPr>
                <w:rFonts w:ascii="Verdana" w:hAnsi="Verdana" w:cs="Verdana"/>
                <w:sz w:val="22"/>
                <w:szCs w:val="22"/>
                <w:lang w:val="en-GB"/>
              </w:rPr>
            </w:pPr>
            <w:r>
              <w:rPr>
                <w:rFonts w:ascii="Verdana" w:hAnsi="Verdana" w:cs="Verdana"/>
                <w:sz w:val="22"/>
                <w:szCs w:val="22"/>
                <w:lang w:val="en-GB"/>
              </w:rPr>
              <w:t>13</w:t>
            </w:r>
          </w:p>
        </w:tc>
        <w:tc>
          <w:tcPr>
            <w:tcW w:w="2231" w:type="dxa"/>
            <w:tcBorders>
              <w:top w:val="single" w:sz="8" w:space="0" w:color="auto"/>
              <w:left w:val="single" w:sz="8" w:space="0" w:color="auto"/>
              <w:bottom w:val="single" w:sz="8" w:space="0" w:color="auto"/>
              <w:right w:val="single" w:sz="8" w:space="0" w:color="auto"/>
            </w:tcBorders>
          </w:tcPr>
          <w:p w:rsidR="000E43BE" w:rsidRPr="003A0746" w:rsidRDefault="00110F8B">
            <w:pPr>
              <w:overflowPunct/>
              <w:autoSpaceDE w:val="0"/>
              <w:autoSpaceDN w:val="0"/>
              <w:rPr>
                <w:rFonts w:ascii="Verdana" w:hAnsi="Verdana" w:cs="Verdana"/>
                <w:sz w:val="22"/>
                <w:szCs w:val="22"/>
                <w:lang w:val="en-GB"/>
              </w:rPr>
            </w:pPr>
            <w:r>
              <w:rPr>
                <w:rFonts w:ascii="Verdana" w:hAnsi="Verdana" w:cs="Verdana"/>
                <w:sz w:val="22"/>
                <w:szCs w:val="22"/>
                <w:lang w:val="en-GB"/>
              </w:rPr>
              <w:t>10</w:t>
            </w:r>
          </w:p>
        </w:tc>
      </w:tr>
      <w:tr w:rsidR="00B95256" w:rsidRPr="005469B5" w:rsidTr="00F33415">
        <w:tc>
          <w:tcPr>
            <w:tcW w:w="2987" w:type="dxa"/>
            <w:tcBorders>
              <w:top w:val="single" w:sz="8" w:space="0" w:color="auto"/>
              <w:left w:val="single" w:sz="8" w:space="0" w:color="auto"/>
              <w:bottom w:val="single" w:sz="8" w:space="0" w:color="auto"/>
              <w:right w:val="nil"/>
            </w:tcBorders>
          </w:tcPr>
          <w:p w:rsidR="00B95256" w:rsidRPr="005469B5" w:rsidRDefault="00B95256">
            <w:pPr>
              <w:rPr>
                <w:rFonts w:ascii="Verdana" w:hAnsi="Verdana" w:cs="Verdana"/>
                <w:b/>
                <w:lang w:val="en-GB"/>
              </w:rPr>
            </w:pPr>
            <w:r w:rsidRPr="005469B5">
              <w:rPr>
                <w:rFonts w:ascii="Verdana" w:hAnsi="Verdana" w:cs="Verdana"/>
                <w:b/>
                <w:bCs/>
                <w:sz w:val="22"/>
                <w:szCs w:val="22"/>
                <w:lang w:val="en-GB"/>
              </w:rPr>
              <w:t>Total</w:t>
            </w:r>
          </w:p>
        </w:tc>
        <w:tc>
          <w:tcPr>
            <w:tcW w:w="2230" w:type="dxa"/>
            <w:tcBorders>
              <w:top w:val="single" w:sz="8" w:space="0" w:color="auto"/>
              <w:left w:val="single" w:sz="8" w:space="0" w:color="auto"/>
              <w:bottom w:val="single" w:sz="8" w:space="0" w:color="auto"/>
              <w:right w:val="nil"/>
            </w:tcBorders>
          </w:tcPr>
          <w:p w:rsidR="00B95256" w:rsidRPr="005469B5" w:rsidRDefault="00110F8B">
            <w:pPr>
              <w:rPr>
                <w:rFonts w:ascii="Verdana" w:hAnsi="Verdana" w:cs="Verdana"/>
                <w:b/>
                <w:sz w:val="22"/>
                <w:szCs w:val="22"/>
                <w:lang w:val="en-GB"/>
              </w:rPr>
            </w:pPr>
            <w:r>
              <w:rPr>
                <w:rFonts w:ascii="Verdana" w:hAnsi="Verdana" w:cs="Verdana"/>
                <w:b/>
                <w:sz w:val="22"/>
                <w:szCs w:val="22"/>
                <w:lang w:val="en-GB"/>
              </w:rPr>
              <w:t>38</w:t>
            </w:r>
          </w:p>
        </w:tc>
        <w:tc>
          <w:tcPr>
            <w:tcW w:w="2230" w:type="dxa"/>
            <w:tcBorders>
              <w:top w:val="single" w:sz="8" w:space="0" w:color="auto"/>
              <w:left w:val="single" w:sz="8" w:space="0" w:color="auto"/>
              <w:bottom w:val="single" w:sz="8" w:space="0" w:color="auto"/>
              <w:right w:val="nil"/>
            </w:tcBorders>
          </w:tcPr>
          <w:p w:rsidR="00B95256" w:rsidRPr="005469B5" w:rsidRDefault="00110F8B">
            <w:pPr>
              <w:rPr>
                <w:rFonts w:ascii="Verdana" w:hAnsi="Verdana" w:cs="Verdana"/>
                <w:b/>
                <w:sz w:val="22"/>
                <w:szCs w:val="22"/>
                <w:lang w:val="en-GB"/>
              </w:rPr>
            </w:pPr>
            <w:r>
              <w:rPr>
                <w:rFonts w:ascii="Verdana" w:hAnsi="Verdana" w:cs="Verdana"/>
                <w:b/>
                <w:sz w:val="22"/>
                <w:szCs w:val="22"/>
                <w:lang w:val="en-GB"/>
              </w:rPr>
              <w:t>33</w:t>
            </w:r>
          </w:p>
        </w:tc>
        <w:tc>
          <w:tcPr>
            <w:tcW w:w="2231" w:type="dxa"/>
            <w:tcBorders>
              <w:top w:val="single" w:sz="8" w:space="0" w:color="auto"/>
              <w:left w:val="single" w:sz="8" w:space="0" w:color="auto"/>
              <w:bottom w:val="single" w:sz="8" w:space="0" w:color="auto"/>
              <w:right w:val="single" w:sz="8" w:space="0" w:color="auto"/>
            </w:tcBorders>
          </w:tcPr>
          <w:p w:rsidR="00B95256" w:rsidRPr="005469B5" w:rsidRDefault="00110F8B">
            <w:pPr>
              <w:rPr>
                <w:rFonts w:ascii="Verdana" w:hAnsi="Verdana" w:cs="Verdana"/>
                <w:b/>
                <w:sz w:val="22"/>
                <w:szCs w:val="22"/>
                <w:lang w:val="en-GB"/>
              </w:rPr>
            </w:pPr>
            <w:r>
              <w:rPr>
                <w:rFonts w:ascii="Verdana" w:hAnsi="Verdana" w:cs="Verdana"/>
                <w:b/>
                <w:sz w:val="22"/>
                <w:szCs w:val="22"/>
                <w:lang w:val="en-GB"/>
              </w:rPr>
              <w:t>34</w:t>
            </w:r>
          </w:p>
        </w:tc>
      </w:tr>
    </w:tbl>
    <w:p w:rsidR="009D2C89" w:rsidRDefault="009D2C89">
      <w:pPr>
        <w:rPr>
          <w:rFonts w:ascii="Verdana" w:hAnsi="Verdana" w:cs="Verdana"/>
          <w:sz w:val="22"/>
          <w:szCs w:val="22"/>
          <w:lang w:val="en-GB"/>
        </w:rPr>
      </w:pPr>
    </w:p>
    <w:p w:rsidR="00262946" w:rsidRPr="00FD4A35" w:rsidRDefault="00625155">
      <w:pPr>
        <w:rPr>
          <w:rFonts w:ascii="Verdana" w:hAnsi="Verdana" w:cs="Verdana"/>
          <w:lang w:val="en-GB"/>
        </w:rPr>
      </w:pPr>
      <w:r w:rsidRPr="00FD4A35">
        <w:rPr>
          <w:rFonts w:ascii="Verdana" w:hAnsi="Verdana" w:cs="Verdana"/>
          <w:lang w:val="en-GB"/>
        </w:rPr>
        <w:t xml:space="preserve">Only 1 property sold for under £150,000 in the last 3 years.  </w:t>
      </w:r>
    </w:p>
    <w:p w:rsidR="00625155" w:rsidRDefault="00625155">
      <w:pPr>
        <w:rPr>
          <w:rFonts w:ascii="Verdana" w:hAnsi="Verdana" w:cs="Verdana"/>
          <w:sz w:val="22"/>
          <w:szCs w:val="22"/>
          <w:lang w:val="en-GB"/>
        </w:rPr>
      </w:pPr>
    </w:p>
    <w:p w:rsidR="00625155" w:rsidRDefault="00625155">
      <w:pPr>
        <w:rPr>
          <w:rFonts w:ascii="Verdana" w:hAnsi="Verdana" w:cs="Verdana"/>
          <w:sz w:val="22"/>
          <w:szCs w:val="22"/>
          <w:lang w:val="en-GB"/>
        </w:rPr>
      </w:pPr>
    </w:p>
    <w:p w:rsidR="00FD4A35" w:rsidRDefault="00FD4A35" w:rsidP="004F25E1">
      <w:pPr>
        <w:tabs>
          <w:tab w:val="left" w:pos="720"/>
        </w:tabs>
        <w:ind w:left="720" w:hanging="720"/>
        <w:rPr>
          <w:rFonts w:ascii="Verdana" w:hAnsi="Verdana" w:cs="Verdana"/>
          <w:b/>
          <w:bCs/>
          <w:iCs/>
          <w:sz w:val="22"/>
          <w:szCs w:val="22"/>
          <w:lang w:val="en-GB"/>
        </w:rPr>
      </w:pPr>
    </w:p>
    <w:p w:rsidR="00FD4A35" w:rsidRDefault="00FD4A35" w:rsidP="004F25E1">
      <w:pPr>
        <w:tabs>
          <w:tab w:val="left" w:pos="720"/>
        </w:tabs>
        <w:ind w:left="720" w:hanging="720"/>
        <w:rPr>
          <w:rFonts w:ascii="Verdana" w:hAnsi="Verdana" w:cs="Verdana"/>
          <w:b/>
          <w:bCs/>
          <w:iCs/>
          <w:sz w:val="22"/>
          <w:szCs w:val="22"/>
          <w:lang w:val="en-GB"/>
        </w:rPr>
      </w:pPr>
    </w:p>
    <w:p w:rsidR="00FD4A35" w:rsidRDefault="00FD4A35" w:rsidP="004F25E1">
      <w:pPr>
        <w:tabs>
          <w:tab w:val="left" w:pos="720"/>
        </w:tabs>
        <w:ind w:left="720" w:hanging="720"/>
        <w:rPr>
          <w:rFonts w:ascii="Verdana" w:hAnsi="Verdana" w:cs="Verdana"/>
          <w:b/>
          <w:bCs/>
          <w:iCs/>
          <w:sz w:val="22"/>
          <w:szCs w:val="22"/>
          <w:lang w:val="en-GB"/>
        </w:rPr>
      </w:pPr>
    </w:p>
    <w:p w:rsidR="004F25E1" w:rsidRDefault="0052597E" w:rsidP="004F25E1">
      <w:pPr>
        <w:tabs>
          <w:tab w:val="left" w:pos="720"/>
        </w:tabs>
        <w:ind w:left="720" w:hanging="720"/>
        <w:rPr>
          <w:rFonts w:ascii="Verdana" w:hAnsi="Verdana" w:cs="Verdana"/>
          <w:b/>
          <w:bCs/>
          <w:sz w:val="22"/>
          <w:szCs w:val="22"/>
          <w:lang w:val="en-GB"/>
        </w:rPr>
      </w:pPr>
      <w:r w:rsidRPr="00625155">
        <w:rPr>
          <w:rFonts w:ascii="Verdana" w:hAnsi="Verdana" w:cs="Verdana"/>
          <w:b/>
          <w:bCs/>
          <w:iCs/>
          <w:sz w:val="22"/>
          <w:szCs w:val="22"/>
          <w:lang w:val="en-GB"/>
        </w:rPr>
        <w:lastRenderedPageBreak/>
        <w:t>3</w:t>
      </w:r>
      <w:r w:rsidR="004F25E1" w:rsidRPr="00625155">
        <w:rPr>
          <w:rFonts w:ascii="Verdana" w:hAnsi="Verdana" w:cs="Verdana"/>
          <w:b/>
          <w:bCs/>
          <w:iCs/>
          <w:sz w:val="22"/>
          <w:szCs w:val="22"/>
          <w:lang w:val="en-GB"/>
        </w:rPr>
        <w:t>.5</w:t>
      </w:r>
      <w:r w:rsidR="004F25E1" w:rsidRPr="004F25E1">
        <w:rPr>
          <w:rFonts w:ascii="Verdana" w:hAnsi="Verdana" w:cs="Verdana"/>
          <w:b/>
          <w:bCs/>
          <w:iCs/>
          <w:sz w:val="22"/>
          <w:szCs w:val="22"/>
          <w:lang w:val="en-GB"/>
        </w:rPr>
        <w:tab/>
      </w:r>
      <w:r w:rsidR="004F25E1">
        <w:rPr>
          <w:rFonts w:ascii="Verdana" w:hAnsi="Verdana" w:cs="Verdana"/>
          <w:b/>
          <w:bCs/>
          <w:iCs/>
          <w:sz w:val="22"/>
          <w:szCs w:val="22"/>
          <w:lang w:val="en-GB"/>
        </w:rPr>
        <w:t>Current property</w:t>
      </w:r>
      <w:r w:rsidR="004F25E1" w:rsidRPr="004F25E1">
        <w:rPr>
          <w:rFonts w:ascii="Verdana" w:hAnsi="Verdana" w:cs="Verdana"/>
          <w:b/>
          <w:bCs/>
          <w:iCs/>
          <w:sz w:val="22"/>
          <w:szCs w:val="22"/>
          <w:lang w:val="en-GB"/>
        </w:rPr>
        <w:t xml:space="preserve"> </w:t>
      </w:r>
      <w:r w:rsidR="004F25E1">
        <w:rPr>
          <w:rFonts w:ascii="Verdana" w:hAnsi="Verdana" w:cs="Verdana"/>
          <w:b/>
          <w:bCs/>
          <w:iCs/>
          <w:sz w:val="22"/>
          <w:szCs w:val="22"/>
          <w:lang w:val="en-GB"/>
        </w:rPr>
        <w:t xml:space="preserve">availability for rent </w:t>
      </w:r>
      <w:r w:rsidR="004F25E1" w:rsidRPr="004F25E1">
        <w:rPr>
          <w:rFonts w:ascii="Verdana" w:hAnsi="Verdana" w:cs="Verdana"/>
          <w:b/>
          <w:bCs/>
          <w:iCs/>
          <w:sz w:val="22"/>
          <w:szCs w:val="22"/>
          <w:lang w:val="en-GB"/>
        </w:rPr>
        <w:t xml:space="preserve">in </w:t>
      </w:r>
      <w:r w:rsidR="00625155">
        <w:rPr>
          <w:rFonts w:ascii="Verdana" w:hAnsi="Verdana" w:cs="Verdana"/>
          <w:b/>
          <w:bCs/>
          <w:iCs/>
          <w:sz w:val="22"/>
          <w:szCs w:val="22"/>
          <w:lang w:val="en-GB"/>
        </w:rPr>
        <w:t>Oakley</w:t>
      </w:r>
    </w:p>
    <w:p w:rsidR="004F25E1" w:rsidRDefault="004F25E1" w:rsidP="004F25E1">
      <w:pPr>
        <w:rPr>
          <w:rFonts w:ascii="Verdana" w:hAnsi="Verdana" w:cs="Verdana"/>
          <w:sz w:val="22"/>
          <w:szCs w:val="22"/>
          <w:lang w:val="en-GB"/>
        </w:rPr>
      </w:pPr>
    </w:p>
    <w:p w:rsidR="005D015B" w:rsidRPr="00FD4A35" w:rsidRDefault="00942D52" w:rsidP="00942D52">
      <w:pPr>
        <w:rPr>
          <w:rFonts w:ascii="Verdana" w:hAnsi="Verdana" w:cs="Verdana"/>
          <w:lang w:val="en-GB"/>
        </w:rPr>
      </w:pPr>
      <w:r w:rsidRPr="00FD4A35">
        <w:rPr>
          <w:rFonts w:ascii="Verdana" w:hAnsi="Verdana" w:cs="Verdana"/>
          <w:lang w:val="en-GB"/>
        </w:rPr>
        <w:t xml:space="preserve">In </w:t>
      </w:r>
      <w:r w:rsidR="00625155" w:rsidRPr="00FD4A35">
        <w:rPr>
          <w:rFonts w:ascii="Verdana" w:hAnsi="Verdana" w:cs="Verdana"/>
          <w:lang w:val="en-GB"/>
        </w:rPr>
        <w:t>March</w:t>
      </w:r>
      <w:r w:rsidRPr="00FD4A35">
        <w:rPr>
          <w:rFonts w:ascii="Verdana" w:hAnsi="Verdana" w:cs="Verdana"/>
          <w:lang w:val="en-GB"/>
        </w:rPr>
        <w:t xml:space="preserve"> 2016</w:t>
      </w:r>
      <w:r w:rsidR="004F25E1" w:rsidRPr="00FD4A35">
        <w:rPr>
          <w:rFonts w:ascii="Verdana" w:hAnsi="Verdana" w:cs="Verdana"/>
          <w:lang w:val="en-GB"/>
        </w:rPr>
        <w:t xml:space="preserve">, we found </w:t>
      </w:r>
      <w:r w:rsidR="00625155" w:rsidRPr="00FD4A35">
        <w:rPr>
          <w:rFonts w:ascii="Verdana" w:hAnsi="Verdana" w:cs="Verdana"/>
          <w:lang w:val="en-GB"/>
        </w:rPr>
        <w:t>1</w:t>
      </w:r>
      <w:r w:rsidR="002B2F91" w:rsidRPr="00FD4A35">
        <w:rPr>
          <w:rFonts w:ascii="Verdana" w:hAnsi="Verdana" w:cs="Verdana"/>
          <w:lang w:val="en-GB"/>
        </w:rPr>
        <w:t xml:space="preserve"> propert</w:t>
      </w:r>
      <w:r w:rsidR="00625155" w:rsidRPr="00FD4A35">
        <w:rPr>
          <w:rFonts w:ascii="Verdana" w:hAnsi="Verdana" w:cs="Verdana"/>
          <w:lang w:val="en-GB"/>
        </w:rPr>
        <w:t>y</w:t>
      </w:r>
      <w:r w:rsidR="004F25E1" w:rsidRPr="00FD4A35">
        <w:rPr>
          <w:rFonts w:ascii="Verdana" w:hAnsi="Verdana" w:cs="Verdana"/>
          <w:lang w:val="en-GB"/>
        </w:rPr>
        <w:t xml:space="preserve"> </w:t>
      </w:r>
      <w:r w:rsidR="00E76DDE" w:rsidRPr="00FD4A35">
        <w:rPr>
          <w:rFonts w:ascii="Verdana" w:hAnsi="Verdana" w:cs="Verdana"/>
          <w:lang w:val="en-GB"/>
        </w:rPr>
        <w:t xml:space="preserve">currently available </w:t>
      </w:r>
      <w:r w:rsidR="004F25E1" w:rsidRPr="00FD4A35">
        <w:rPr>
          <w:rFonts w:ascii="Verdana" w:hAnsi="Verdana" w:cs="Verdana"/>
          <w:lang w:val="en-GB"/>
        </w:rPr>
        <w:t xml:space="preserve">for rent in </w:t>
      </w:r>
      <w:r w:rsidR="00625155" w:rsidRPr="00FD4A35">
        <w:rPr>
          <w:rFonts w:ascii="Verdana" w:hAnsi="Verdana" w:cs="Verdana"/>
          <w:lang w:val="en-GB"/>
        </w:rPr>
        <w:t>Oakley</w:t>
      </w:r>
      <w:r w:rsidR="00B646B7" w:rsidRPr="00FD4A35">
        <w:rPr>
          <w:rFonts w:ascii="Verdana" w:hAnsi="Verdana" w:cs="Verdana"/>
          <w:lang w:val="en-GB"/>
        </w:rPr>
        <w:t xml:space="preserve">: </w:t>
      </w:r>
      <w:r w:rsidR="00625155" w:rsidRPr="00FD4A35">
        <w:rPr>
          <w:rFonts w:ascii="Verdana" w:hAnsi="Verdana" w:cs="Verdana"/>
          <w:lang w:val="en-GB"/>
        </w:rPr>
        <w:t>a</w:t>
      </w:r>
      <w:r w:rsidR="00B646B7" w:rsidRPr="00FD4A35">
        <w:rPr>
          <w:rFonts w:ascii="Verdana" w:hAnsi="Verdana" w:cs="Verdana"/>
          <w:lang w:val="en-GB"/>
        </w:rPr>
        <w:t xml:space="preserve"> 2</w:t>
      </w:r>
      <w:r w:rsidR="002B2F91" w:rsidRPr="00FD4A35">
        <w:rPr>
          <w:rFonts w:ascii="Verdana" w:hAnsi="Verdana" w:cs="Verdana"/>
          <w:lang w:val="en-GB"/>
        </w:rPr>
        <w:t xml:space="preserve"> bedroom </w:t>
      </w:r>
      <w:r w:rsidR="00625155" w:rsidRPr="00FD4A35">
        <w:rPr>
          <w:rFonts w:ascii="Verdana" w:hAnsi="Verdana" w:cs="Verdana"/>
          <w:lang w:val="en-GB"/>
        </w:rPr>
        <w:t>property</w:t>
      </w:r>
      <w:r w:rsidR="00805169" w:rsidRPr="00FD4A35">
        <w:rPr>
          <w:rFonts w:ascii="Verdana" w:hAnsi="Verdana" w:cs="Verdana"/>
          <w:lang w:val="en-GB"/>
        </w:rPr>
        <w:t xml:space="preserve"> </w:t>
      </w:r>
      <w:r w:rsidR="00625155" w:rsidRPr="00FD4A35">
        <w:rPr>
          <w:rFonts w:ascii="Verdana" w:hAnsi="Verdana" w:cs="Verdana"/>
          <w:lang w:val="en-GB"/>
        </w:rPr>
        <w:t xml:space="preserve">on at </w:t>
      </w:r>
      <w:r w:rsidR="00B646B7" w:rsidRPr="00FD4A35">
        <w:rPr>
          <w:rFonts w:ascii="Verdana" w:hAnsi="Verdana" w:cs="Verdana"/>
          <w:lang w:val="en-GB"/>
        </w:rPr>
        <w:t>£8</w:t>
      </w:r>
      <w:r w:rsidR="00625155" w:rsidRPr="00FD4A35">
        <w:rPr>
          <w:rFonts w:ascii="Verdana" w:hAnsi="Verdana" w:cs="Verdana"/>
          <w:lang w:val="en-GB"/>
        </w:rPr>
        <w:t>75</w:t>
      </w:r>
      <w:r w:rsidR="002B2F91" w:rsidRPr="00FD4A35">
        <w:rPr>
          <w:rFonts w:ascii="Verdana" w:hAnsi="Verdana" w:cs="Verdana"/>
          <w:lang w:val="en-GB"/>
        </w:rPr>
        <w:t xml:space="preserve"> per month</w:t>
      </w:r>
      <w:r w:rsidRPr="00FD4A35">
        <w:rPr>
          <w:rFonts w:ascii="Verdana" w:hAnsi="Verdana" w:cs="Verdana"/>
          <w:lang w:val="en-GB"/>
        </w:rPr>
        <w:t>.</w:t>
      </w:r>
    </w:p>
    <w:p w:rsidR="00942D52" w:rsidRDefault="00942D52" w:rsidP="00942D52">
      <w:pPr>
        <w:rPr>
          <w:rFonts w:ascii="Verdana" w:hAnsi="Verdana" w:cs="Verdana"/>
          <w:b/>
          <w:bCs/>
          <w:iCs/>
          <w:sz w:val="22"/>
          <w:szCs w:val="22"/>
          <w:lang w:val="en-GB"/>
        </w:rPr>
      </w:pPr>
    </w:p>
    <w:p w:rsidR="00625155" w:rsidRDefault="00625155" w:rsidP="005D015B">
      <w:pPr>
        <w:ind w:left="720" w:hanging="720"/>
        <w:rPr>
          <w:rFonts w:ascii="Verdana" w:hAnsi="Verdana" w:cs="Verdana"/>
          <w:b/>
          <w:bCs/>
          <w:iCs/>
          <w:sz w:val="22"/>
          <w:szCs w:val="22"/>
          <w:lang w:val="en-GB"/>
        </w:rPr>
      </w:pPr>
    </w:p>
    <w:p w:rsidR="009D2C89" w:rsidRPr="004F25E1" w:rsidRDefault="0052597E" w:rsidP="005D015B">
      <w:pPr>
        <w:ind w:left="720" w:hanging="720"/>
        <w:rPr>
          <w:rFonts w:ascii="Verdana" w:hAnsi="Verdana" w:cs="Verdana"/>
          <w:b/>
          <w:bCs/>
          <w:iCs/>
          <w:sz w:val="22"/>
          <w:szCs w:val="22"/>
          <w:lang w:val="en-GB"/>
        </w:rPr>
      </w:pPr>
      <w:r w:rsidRPr="0071581B">
        <w:rPr>
          <w:rFonts w:ascii="Verdana" w:hAnsi="Verdana" w:cs="Verdana"/>
          <w:b/>
          <w:bCs/>
          <w:iCs/>
          <w:sz w:val="22"/>
          <w:szCs w:val="22"/>
          <w:lang w:val="en-GB"/>
        </w:rPr>
        <w:t>3</w:t>
      </w:r>
      <w:r w:rsidR="004F25E1" w:rsidRPr="0071581B">
        <w:rPr>
          <w:rFonts w:ascii="Verdana" w:hAnsi="Verdana" w:cs="Verdana"/>
          <w:b/>
          <w:bCs/>
          <w:iCs/>
          <w:sz w:val="22"/>
          <w:szCs w:val="22"/>
          <w:lang w:val="en-GB"/>
        </w:rPr>
        <w:t>.6</w:t>
      </w:r>
      <w:r w:rsidR="004F25E1">
        <w:rPr>
          <w:rFonts w:ascii="Verdana" w:hAnsi="Verdana" w:cs="Verdana"/>
          <w:b/>
          <w:bCs/>
          <w:iCs/>
          <w:sz w:val="22"/>
          <w:szCs w:val="22"/>
          <w:lang w:val="en-GB"/>
        </w:rPr>
        <w:t xml:space="preserve"> </w:t>
      </w:r>
      <w:r w:rsidR="004F25E1">
        <w:rPr>
          <w:rFonts w:ascii="Verdana" w:hAnsi="Verdana" w:cs="Verdana"/>
          <w:b/>
          <w:bCs/>
          <w:iCs/>
          <w:sz w:val="22"/>
          <w:szCs w:val="22"/>
          <w:lang w:val="en-GB"/>
        </w:rPr>
        <w:tab/>
        <w:t>H</w:t>
      </w:r>
      <w:r w:rsidR="009D2C89" w:rsidRPr="004F25E1">
        <w:rPr>
          <w:rFonts w:ascii="Verdana" w:hAnsi="Verdana" w:cs="Verdana"/>
          <w:b/>
          <w:bCs/>
          <w:iCs/>
          <w:sz w:val="22"/>
          <w:szCs w:val="22"/>
          <w:lang w:val="en-GB"/>
        </w:rPr>
        <w:t xml:space="preserve">ousehold income required </w:t>
      </w:r>
      <w:r w:rsidR="00195CBA" w:rsidRPr="004F25E1">
        <w:rPr>
          <w:rFonts w:ascii="Verdana" w:hAnsi="Verdana" w:cs="Verdana"/>
          <w:b/>
          <w:bCs/>
          <w:iCs/>
          <w:sz w:val="22"/>
          <w:szCs w:val="22"/>
          <w:lang w:val="en-GB"/>
        </w:rPr>
        <w:t xml:space="preserve">by first time buyers </w:t>
      </w:r>
      <w:r w:rsidR="004F25E1">
        <w:rPr>
          <w:rFonts w:ascii="Verdana" w:hAnsi="Verdana" w:cs="Verdana"/>
          <w:b/>
          <w:bCs/>
          <w:iCs/>
          <w:sz w:val="22"/>
          <w:szCs w:val="22"/>
          <w:lang w:val="en-GB"/>
        </w:rPr>
        <w:t xml:space="preserve">or renters </w:t>
      </w:r>
      <w:r w:rsidR="009D2C89" w:rsidRPr="004F25E1">
        <w:rPr>
          <w:rFonts w:ascii="Verdana" w:hAnsi="Verdana" w:cs="Verdana"/>
          <w:b/>
          <w:bCs/>
          <w:iCs/>
          <w:sz w:val="22"/>
          <w:szCs w:val="22"/>
          <w:lang w:val="en-GB"/>
        </w:rPr>
        <w:t xml:space="preserve">in </w:t>
      </w:r>
      <w:r w:rsidR="009B107F">
        <w:rPr>
          <w:rFonts w:ascii="Verdana" w:hAnsi="Verdana" w:cs="Verdana"/>
          <w:b/>
          <w:bCs/>
          <w:iCs/>
          <w:sz w:val="22"/>
          <w:szCs w:val="22"/>
          <w:lang w:val="en-GB"/>
        </w:rPr>
        <w:t>Oakley</w:t>
      </w:r>
    </w:p>
    <w:p w:rsidR="004F25E1" w:rsidRDefault="004F25E1" w:rsidP="00625F10">
      <w:pPr>
        <w:ind w:right="-144"/>
        <w:rPr>
          <w:rFonts w:ascii="Verdana" w:hAnsi="Verdana" w:cs="Verdana"/>
          <w:sz w:val="22"/>
          <w:szCs w:val="22"/>
          <w:lang w:val="en-GB"/>
        </w:rPr>
      </w:pPr>
    </w:p>
    <w:p w:rsidR="008F12CA" w:rsidRPr="00822CBD" w:rsidRDefault="009D2C89" w:rsidP="00625F10">
      <w:pPr>
        <w:ind w:right="-144"/>
        <w:rPr>
          <w:rFonts w:ascii="Verdana" w:hAnsi="Verdana" w:cs="Verdana"/>
          <w:bCs/>
          <w:lang w:val="en-GB"/>
        </w:rPr>
      </w:pPr>
      <w:r w:rsidRPr="00822CBD">
        <w:rPr>
          <w:rFonts w:ascii="Verdana" w:hAnsi="Verdana" w:cs="Verdana"/>
          <w:bCs/>
          <w:lang w:val="en-GB"/>
        </w:rPr>
        <w:t>The Department of Communities and Local Government (DCLG) provides a guideline that “A household can be considered able to afford to buy a home if it costs 3.5 times the gross household income for a single earner household or 2.9 times the gross household income for dual-income households.”</w:t>
      </w:r>
      <w:r w:rsidRPr="00FD4A35">
        <w:rPr>
          <w:kern w:val="0"/>
          <w:vertAlign w:val="superscript"/>
        </w:rPr>
        <w:footnoteReference w:id="4"/>
      </w:r>
      <w:r w:rsidRPr="00FD4A35">
        <w:rPr>
          <w:kern w:val="0"/>
          <w:vertAlign w:val="superscript"/>
        </w:rPr>
        <w:t xml:space="preserve"> </w:t>
      </w:r>
      <w:r w:rsidRPr="00822CBD">
        <w:rPr>
          <w:rFonts w:ascii="Verdana" w:hAnsi="Verdana" w:cs="Verdana"/>
          <w:bCs/>
          <w:lang w:val="en-GB"/>
        </w:rPr>
        <w:t xml:space="preserve"> </w:t>
      </w:r>
      <w:r w:rsidR="008F12CA" w:rsidRPr="00822CBD">
        <w:rPr>
          <w:rFonts w:ascii="Verdana" w:hAnsi="Verdana" w:cs="Verdana"/>
          <w:bCs/>
          <w:lang w:val="en-GB"/>
        </w:rPr>
        <w:t xml:space="preserve">This is reflected in the fact that the average </w:t>
      </w:r>
      <w:r w:rsidR="005D015B" w:rsidRPr="00822CBD">
        <w:rPr>
          <w:rFonts w:ascii="Verdana" w:hAnsi="Verdana" w:cs="Verdana"/>
          <w:bCs/>
          <w:lang w:val="en-GB"/>
        </w:rPr>
        <w:t xml:space="preserve">loan to income ratio </w:t>
      </w:r>
      <w:r w:rsidR="008F12CA" w:rsidRPr="00822CBD">
        <w:rPr>
          <w:rFonts w:ascii="Verdana" w:hAnsi="Verdana" w:cs="Verdana"/>
          <w:bCs/>
          <w:lang w:val="en-GB"/>
        </w:rPr>
        <w:t>in lend</w:t>
      </w:r>
      <w:r w:rsidR="00F23E26" w:rsidRPr="00822CBD">
        <w:rPr>
          <w:rFonts w:ascii="Verdana" w:hAnsi="Verdana" w:cs="Verdana"/>
          <w:bCs/>
          <w:lang w:val="en-GB"/>
        </w:rPr>
        <w:t xml:space="preserve">ing to first-time buyers in </w:t>
      </w:r>
      <w:r w:rsidR="005D015B" w:rsidRPr="00822CBD">
        <w:rPr>
          <w:rFonts w:ascii="Verdana" w:hAnsi="Verdana" w:cs="Verdana"/>
          <w:bCs/>
          <w:lang w:val="en-GB"/>
        </w:rPr>
        <w:t>May 2015</w:t>
      </w:r>
      <w:r w:rsidR="00F23E26" w:rsidRPr="00822CBD">
        <w:rPr>
          <w:rFonts w:ascii="Verdana" w:hAnsi="Verdana" w:cs="Verdana"/>
          <w:bCs/>
          <w:lang w:val="en-GB"/>
        </w:rPr>
        <w:t xml:space="preserve"> was 3.</w:t>
      </w:r>
      <w:r w:rsidR="005E5905" w:rsidRPr="00822CBD">
        <w:rPr>
          <w:rFonts w:ascii="Verdana" w:hAnsi="Verdana" w:cs="Verdana"/>
          <w:bCs/>
          <w:lang w:val="en-GB"/>
        </w:rPr>
        <w:t>3</w:t>
      </w:r>
      <w:r w:rsidR="005D015B" w:rsidRPr="00822CBD">
        <w:rPr>
          <w:rFonts w:ascii="Verdana" w:hAnsi="Verdana" w:cs="Verdana"/>
          <w:bCs/>
          <w:lang w:val="en-GB"/>
        </w:rPr>
        <w:t>4</w:t>
      </w:r>
      <w:r w:rsidR="008F12CA" w:rsidRPr="00822CBD">
        <w:rPr>
          <w:rFonts w:ascii="Verdana" w:hAnsi="Verdana" w:cs="Verdana"/>
          <w:bCs/>
          <w:lang w:val="en-GB"/>
        </w:rPr>
        <w:t>.</w:t>
      </w:r>
      <w:r w:rsidR="008F12CA" w:rsidRPr="00FD4A35">
        <w:rPr>
          <w:kern w:val="0"/>
          <w:vertAlign w:val="superscript"/>
        </w:rPr>
        <w:footnoteReference w:id="5"/>
      </w:r>
      <w:r w:rsidR="008F12CA" w:rsidRPr="00FD4A35">
        <w:rPr>
          <w:kern w:val="0"/>
          <w:vertAlign w:val="superscript"/>
        </w:rPr>
        <w:t xml:space="preserve"> </w:t>
      </w:r>
    </w:p>
    <w:p w:rsidR="008F12CA" w:rsidRPr="00822CBD" w:rsidRDefault="008F12CA">
      <w:pPr>
        <w:rPr>
          <w:rFonts w:ascii="Verdana" w:hAnsi="Verdana" w:cs="Verdana"/>
          <w:bCs/>
          <w:lang w:val="en-GB"/>
        </w:rPr>
      </w:pPr>
    </w:p>
    <w:p w:rsidR="00E76DDE" w:rsidRPr="00822CBD" w:rsidRDefault="008F12CA">
      <w:pPr>
        <w:rPr>
          <w:rFonts w:ascii="Verdana" w:hAnsi="Verdana" w:cs="Verdana"/>
          <w:bCs/>
          <w:lang w:val="en-GB"/>
        </w:rPr>
      </w:pPr>
      <w:r w:rsidRPr="00822CBD">
        <w:rPr>
          <w:rFonts w:ascii="Verdana" w:hAnsi="Verdana" w:cs="Verdana"/>
          <w:bCs/>
          <w:lang w:val="en-GB"/>
        </w:rPr>
        <w:t>According to the DCLG</w:t>
      </w:r>
      <w:r w:rsidR="009D2C89" w:rsidRPr="00822CBD">
        <w:rPr>
          <w:rFonts w:ascii="Verdana" w:hAnsi="Verdana" w:cs="Verdana"/>
          <w:bCs/>
          <w:lang w:val="en-GB"/>
        </w:rPr>
        <w:t xml:space="preserve"> guidance, in order to purchase the cheapest property </w:t>
      </w:r>
      <w:r w:rsidR="001A5D53" w:rsidRPr="00822CBD">
        <w:rPr>
          <w:rFonts w:ascii="Verdana" w:hAnsi="Verdana" w:cs="Verdana"/>
          <w:bCs/>
          <w:lang w:val="en-GB"/>
        </w:rPr>
        <w:t xml:space="preserve">currently </w:t>
      </w:r>
      <w:r w:rsidR="009D2C89" w:rsidRPr="00822CBD">
        <w:rPr>
          <w:rFonts w:ascii="Verdana" w:hAnsi="Verdana" w:cs="Verdana"/>
          <w:bCs/>
          <w:lang w:val="en-GB"/>
        </w:rPr>
        <w:t xml:space="preserve">available in </w:t>
      </w:r>
      <w:r w:rsidR="00016D7A" w:rsidRPr="00822CBD">
        <w:rPr>
          <w:rFonts w:ascii="Verdana" w:hAnsi="Verdana" w:cs="Verdana"/>
          <w:bCs/>
          <w:lang w:val="en-GB"/>
        </w:rPr>
        <w:t>Oakley</w:t>
      </w:r>
      <w:r w:rsidR="009D2C89" w:rsidRPr="00822CBD">
        <w:rPr>
          <w:rFonts w:ascii="Verdana" w:hAnsi="Verdana" w:cs="Verdana"/>
          <w:bCs/>
          <w:lang w:val="en-GB"/>
        </w:rPr>
        <w:t xml:space="preserve"> (</w:t>
      </w:r>
      <w:r w:rsidR="009F5B60" w:rsidRPr="00822CBD">
        <w:rPr>
          <w:rFonts w:ascii="Verdana" w:hAnsi="Verdana" w:cs="Verdana"/>
          <w:bCs/>
          <w:lang w:val="en-GB"/>
        </w:rPr>
        <w:t xml:space="preserve">a </w:t>
      </w:r>
      <w:r w:rsidR="00016D7A" w:rsidRPr="00822CBD">
        <w:rPr>
          <w:rFonts w:ascii="Verdana" w:hAnsi="Verdana" w:cs="Verdana"/>
          <w:bCs/>
          <w:lang w:val="en-GB"/>
        </w:rPr>
        <w:t>4</w:t>
      </w:r>
      <w:r w:rsidR="009F5B60" w:rsidRPr="00822CBD">
        <w:rPr>
          <w:rFonts w:ascii="Verdana" w:hAnsi="Verdana" w:cs="Verdana"/>
          <w:bCs/>
          <w:lang w:val="en-GB"/>
        </w:rPr>
        <w:t xml:space="preserve"> bedroom </w:t>
      </w:r>
      <w:r w:rsidR="00016D7A" w:rsidRPr="00822CBD">
        <w:rPr>
          <w:rFonts w:ascii="Verdana" w:hAnsi="Verdana" w:cs="Verdana"/>
          <w:bCs/>
          <w:lang w:val="en-GB"/>
        </w:rPr>
        <w:t>house</w:t>
      </w:r>
      <w:r w:rsidR="009F5B60" w:rsidRPr="00822CBD">
        <w:rPr>
          <w:rFonts w:ascii="Verdana" w:hAnsi="Verdana" w:cs="Verdana"/>
          <w:bCs/>
          <w:lang w:val="en-GB"/>
        </w:rPr>
        <w:t xml:space="preserve"> at £</w:t>
      </w:r>
      <w:r w:rsidR="00016D7A" w:rsidRPr="00822CBD">
        <w:rPr>
          <w:rFonts w:ascii="Verdana" w:hAnsi="Verdana" w:cs="Verdana"/>
          <w:bCs/>
          <w:lang w:val="en-GB"/>
        </w:rPr>
        <w:t>295,000</w:t>
      </w:r>
      <w:r w:rsidR="009D2C89" w:rsidRPr="00822CBD">
        <w:rPr>
          <w:rFonts w:ascii="Verdana" w:hAnsi="Verdana" w:cs="Verdana"/>
          <w:bCs/>
          <w:lang w:val="en-GB"/>
        </w:rPr>
        <w:t>)</w:t>
      </w:r>
      <w:r w:rsidR="007B3135" w:rsidRPr="00822CBD">
        <w:rPr>
          <w:rFonts w:ascii="Verdana" w:hAnsi="Verdana" w:cs="Verdana"/>
          <w:bCs/>
          <w:lang w:val="en-GB"/>
        </w:rPr>
        <w:t xml:space="preserve"> as a first time buyer</w:t>
      </w:r>
      <w:r w:rsidR="009D2C89" w:rsidRPr="00822CBD">
        <w:rPr>
          <w:rFonts w:ascii="Verdana" w:hAnsi="Verdana" w:cs="Verdana"/>
          <w:bCs/>
          <w:lang w:val="en-GB"/>
        </w:rPr>
        <w:t>, a single earner household would need an annual gross income of</w:t>
      </w:r>
      <w:r w:rsidR="009F5B60" w:rsidRPr="00822CBD">
        <w:rPr>
          <w:rFonts w:ascii="Verdana" w:hAnsi="Verdana" w:cs="Verdana"/>
          <w:bCs/>
          <w:lang w:val="en-GB"/>
        </w:rPr>
        <w:t xml:space="preserve"> over</w:t>
      </w:r>
      <w:r w:rsidR="009D2C89" w:rsidRPr="00822CBD">
        <w:rPr>
          <w:rFonts w:ascii="Verdana" w:hAnsi="Verdana" w:cs="Verdana"/>
          <w:bCs/>
          <w:lang w:val="en-GB"/>
        </w:rPr>
        <w:t xml:space="preserve"> £</w:t>
      </w:r>
      <w:r w:rsidR="004D1F2A" w:rsidRPr="00822CBD">
        <w:rPr>
          <w:rFonts w:ascii="Verdana" w:hAnsi="Verdana" w:cs="Verdana"/>
          <w:bCs/>
          <w:lang w:val="en-GB"/>
        </w:rPr>
        <w:t>84</w:t>
      </w:r>
      <w:r w:rsidR="009D2C89" w:rsidRPr="00822CBD">
        <w:rPr>
          <w:rFonts w:ascii="Verdana" w:hAnsi="Verdana" w:cs="Verdana"/>
          <w:bCs/>
          <w:lang w:val="en-GB"/>
        </w:rPr>
        <w:t>,</w:t>
      </w:r>
      <w:r w:rsidR="00456602" w:rsidRPr="00822CBD">
        <w:rPr>
          <w:rFonts w:ascii="Verdana" w:hAnsi="Verdana" w:cs="Verdana"/>
          <w:bCs/>
          <w:lang w:val="en-GB"/>
        </w:rPr>
        <w:t>0</w:t>
      </w:r>
      <w:r w:rsidR="009D2C89" w:rsidRPr="00822CBD">
        <w:rPr>
          <w:rFonts w:ascii="Verdana" w:hAnsi="Verdana" w:cs="Verdana"/>
          <w:bCs/>
          <w:lang w:val="en-GB"/>
        </w:rPr>
        <w:t>00, and a dual-income househ</w:t>
      </w:r>
      <w:r w:rsidR="00B95256" w:rsidRPr="00822CBD">
        <w:rPr>
          <w:rFonts w:ascii="Verdana" w:hAnsi="Verdana" w:cs="Verdana"/>
          <w:bCs/>
          <w:lang w:val="en-GB"/>
        </w:rPr>
        <w:t xml:space="preserve">old would need </w:t>
      </w:r>
      <w:r w:rsidR="004301BA" w:rsidRPr="00822CBD">
        <w:rPr>
          <w:rFonts w:ascii="Verdana" w:hAnsi="Verdana" w:cs="Verdana"/>
          <w:bCs/>
          <w:lang w:val="en-GB"/>
        </w:rPr>
        <w:t>over</w:t>
      </w:r>
      <w:r w:rsidR="00456602" w:rsidRPr="00822CBD">
        <w:rPr>
          <w:rFonts w:ascii="Verdana" w:hAnsi="Verdana" w:cs="Verdana"/>
          <w:bCs/>
          <w:lang w:val="en-GB"/>
        </w:rPr>
        <w:t xml:space="preserve"> </w:t>
      </w:r>
      <w:r w:rsidR="00F11DD5" w:rsidRPr="00822CBD">
        <w:rPr>
          <w:rFonts w:ascii="Verdana" w:hAnsi="Verdana" w:cs="Verdana"/>
          <w:bCs/>
          <w:lang w:val="en-GB"/>
        </w:rPr>
        <w:t>£</w:t>
      </w:r>
      <w:r w:rsidR="004D1F2A" w:rsidRPr="00822CBD">
        <w:rPr>
          <w:rFonts w:ascii="Verdana" w:hAnsi="Verdana" w:cs="Verdana"/>
          <w:bCs/>
          <w:lang w:val="en-GB"/>
        </w:rPr>
        <w:t>101</w:t>
      </w:r>
      <w:r w:rsidR="009D2C89" w:rsidRPr="00822CBD">
        <w:rPr>
          <w:rFonts w:ascii="Verdana" w:hAnsi="Verdana" w:cs="Verdana"/>
          <w:bCs/>
          <w:lang w:val="en-GB"/>
        </w:rPr>
        <w:t>,</w:t>
      </w:r>
      <w:r w:rsidR="00456602" w:rsidRPr="00822CBD">
        <w:rPr>
          <w:rFonts w:ascii="Verdana" w:hAnsi="Verdana" w:cs="Verdana"/>
          <w:bCs/>
          <w:lang w:val="en-GB"/>
        </w:rPr>
        <w:t>0</w:t>
      </w:r>
      <w:r w:rsidR="009D2C89" w:rsidRPr="00822CBD">
        <w:rPr>
          <w:rFonts w:ascii="Verdana" w:hAnsi="Verdana" w:cs="Verdana"/>
          <w:bCs/>
          <w:lang w:val="en-GB"/>
        </w:rPr>
        <w:t xml:space="preserve">00. </w:t>
      </w:r>
      <w:r w:rsidR="00E36AA6" w:rsidRPr="00822CBD">
        <w:rPr>
          <w:rFonts w:ascii="Verdana" w:hAnsi="Verdana" w:cs="Verdana"/>
          <w:bCs/>
          <w:lang w:val="en-GB"/>
        </w:rPr>
        <w:t xml:space="preserve"> </w:t>
      </w:r>
      <w:r w:rsidR="00E55DD7" w:rsidRPr="00822CBD">
        <w:rPr>
          <w:rFonts w:ascii="Verdana" w:hAnsi="Verdana" w:cs="Verdana"/>
          <w:bCs/>
          <w:lang w:val="en-GB"/>
        </w:rPr>
        <w:t>For the cheapest property available over the last 3 years (a semi</w:t>
      </w:r>
      <w:r w:rsidR="00F321B1" w:rsidRPr="00822CBD">
        <w:rPr>
          <w:rFonts w:ascii="Verdana" w:hAnsi="Verdana" w:cs="Verdana"/>
          <w:bCs/>
          <w:lang w:val="en-GB"/>
        </w:rPr>
        <w:t>-</w:t>
      </w:r>
      <w:r w:rsidR="00E55DD7" w:rsidRPr="00822CBD">
        <w:rPr>
          <w:rFonts w:ascii="Verdana" w:hAnsi="Verdana" w:cs="Verdana"/>
          <w:bCs/>
          <w:lang w:val="en-GB"/>
        </w:rPr>
        <w:t>detached property at £150,000), these figures would fall to just over £42,000 and over £51,000 respectively.  It should be noted that the median annual full time wage in the UK stood at £2</w:t>
      </w:r>
      <w:r w:rsidR="00ED3F98" w:rsidRPr="00822CBD">
        <w:rPr>
          <w:rFonts w:ascii="Verdana" w:hAnsi="Verdana" w:cs="Verdana"/>
          <w:bCs/>
          <w:lang w:val="en-GB"/>
        </w:rPr>
        <w:t>7</w:t>
      </w:r>
      <w:r w:rsidR="00E55DD7" w:rsidRPr="00822CBD">
        <w:rPr>
          <w:rFonts w:ascii="Verdana" w:hAnsi="Verdana" w:cs="Verdana"/>
          <w:bCs/>
          <w:lang w:val="en-GB"/>
        </w:rPr>
        <w:t>,</w:t>
      </w:r>
      <w:r w:rsidR="00265B5B">
        <w:rPr>
          <w:rFonts w:ascii="Verdana" w:hAnsi="Verdana" w:cs="Verdana"/>
          <w:bCs/>
          <w:lang w:val="en-GB"/>
        </w:rPr>
        <w:t>600 in April 201</w:t>
      </w:r>
      <w:r w:rsidR="00ED3F98" w:rsidRPr="00822CBD">
        <w:rPr>
          <w:rFonts w:ascii="Verdana" w:hAnsi="Verdana" w:cs="Verdana"/>
          <w:bCs/>
          <w:lang w:val="en-GB"/>
        </w:rPr>
        <w:t>5</w:t>
      </w:r>
      <w:r w:rsidR="00E55DD7" w:rsidRPr="00822CBD">
        <w:rPr>
          <w:rFonts w:ascii="Verdana" w:hAnsi="Verdana" w:cs="Verdana"/>
          <w:bCs/>
          <w:lang w:val="en-GB"/>
        </w:rPr>
        <w:t xml:space="preserve">.   </w:t>
      </w:r>
    </w:p>
    <w:p w:rsidR="00E55DD7" w:rsidRPr="00822CBD" w:rsidRDefault="00E55DD7">
      <w:pPr>
        <w:rPr>
          <w:rFonts w:ascii="Verdana" w:hAnsi="Verdana" w:cs="Verdana"/>
          <w:bCs/>
          <w:lang w:val="en-GB"/>
        </w:rPr>
      </w:pPr>
    </w:p>
    <w:p w:rsidR="00E76DDE" w:rsidRPr="00822CBD" w:rsidRDefault="00E76DDE" w:rsidP="00E76DDE">
      <w:pPr>
        <w:rPr>
          <w:rFonts w:ascii="Verdana" w:hAnsi="Verdana" w:cs="Verdana"/>
          <w:bCs/>
          <w:lang w:val="en-GB"/>
        </w:rPr>
      </w:pPr>
      <w:r w:rsidRPr="00822CBD">
        <w:rPr>
          <w:rFonts w:ascii="Verdana" w:hAnsi="Verdana" w:cs="Verdana"/>
          <w:bCs/>
          <w:lang w:val="en-GB"/>
        </w:rPr>
        <w:t xml:space="preserve">According to the same guidance, “A household can be considered able to afford market house renting in cases where the rent payable was up to 25% of their gross household income.”  (The ‘Rent Payable’ figure is defined as the entire rent due, even if it is partially or entirely met by housing benefit.)  To rent the cheapest property available in </w:t>
      </w:r>
      <w:r w:rsidR="0071581B" w:rsidRPr="00822CBD">
        <w:rPr>
          <w:rFonts w:ascii="Verdana" w:hAnsi="Verdana" w:cs="Verdana"/>
          <w:bCs/>
          <w:lang w:val="en-GB"/>
        </w:rPr>
        <w:t>Oakley (£87</w:t>
      </w:r>
      <w:r w:rsidR="00805169" w:rsidRPr="00822CBD">
        <w:rPr>
          <w:rFonts w:ascii="Verdana" w:hAnsi="Verdana" w:cs="Verdana"/>
          <w:bCs/>
          <w:lang w:val="en-GB"/>
        </w:rPr>
        <w:t>5 per month)</w:t>
      </w:r>
      <w:r w:rsidRPr="00822CBD">
        <w:rPr>
          <w:rFonts w:ascii="Verdana" w:hAnsi="Verdana" w:cs="Verdana"/>
          <w:bCs/>
          <w:lang w:val="en-GB"/>
        </w:rPr>
        <w:t xml:space="preserve">, a household’s gross income would therefore need to be </w:t>
      </w:r>
      <w:r w:rsidR="001A5D53" w:rsidRPr="00822CBD">
        <w:rPr>
          <w:rFonts w:ascii="Verdana" w:hAnsi="Verdana" w:cs="Verdana"/>
          <w:bCs/>
          <w:lang w:val="en-GB"/>
        </w:rPr>
        <w:t xml:space="preserve">over </w:t>
      </w:r>
      <w:r w:rsidRPr="00822CBD">
        <w:rPr>
          <w:rFonts w:ascii="Verdana" w:hAnsi="Verdana" w:cs="Verdana"/>
          <w:bCs/>
          <w:lang w:val="en-GB"/>
        </w:rPr>
        <w:t>£</w:t>
      </w:r>
      <w:r w:rsidR="0071581B" w:rsidRPr="00822CBD">
        <w:rPr>
          <w:rFonts w:ascii="Verdana" w:hAnsi="Verdana" w:cs="Verdana"/>
          <w:bCs/>
          <w:lang w:val="en-GB"/>
        </w:rPr>
        <w:t>42</w:t>
      </w:r>
      <w:r w:rsidRPr="00822CBD">
        <w:rPr>
          <w:rFonts w:ascii="Verdana" w:hAnsi="Verdana" w:cs="Verdana"/>
          <w:bCs/>
          <w:lang w:val="en-GB"/>
        </w:rPr>
        <w:t>,000.</w:t>
      </w:r>
    </w:p>
    <w:p w:rsidR="009D2C89" w:rsidRDefault="009D2C89">
      <w:pPr>
        <w:rPr>
          <w:rFonts w:ascii="Verdana" w:hAnsi="Verdana" w:cs="Verdana"/>
          <w:sz w:val="22"/>
          <w:szCs w:val="22"/>
          <w:lang w:val="en-GB"/>
        </w:rPr>
      </w:pPr>
    </w:p>
    <w:p w:rsidR="009D2C89" w:rsidRPr="00E76DDE" w:rsidRDefault="0052597E">
      <w:pPr>
        <w:rPr>
          <w:rFonts w:ascii="Verdana" w:hAnsi="Verdana" w:cs="Verdana"/>
          <w:b/>
          <w:bCs/>
          <w:iCs/>
          <w:sz w:val="22"/>
          <w:szCs w:val="22"/>
          <w:lang w:val="en-GB"/>
        </w:rPr>
      </w:pPr>
      <w:r w:rsidRPr="00997FFC">
        <w:rPr>
          <w:rFonts w:ascii="Verdana" w:hAnsi="Verdana" w:cs="Verdana"/>
          <w:b/>
          <w:bCs/>
          <w:iCs/>
          <w:sz w:val="22"/>
          <w:szCs w:val="22"/>
          <w:lang w:val="en-GB"/>
        </w:rPr>
        <w:t>3</w:t>
      </w:r>
      <w:r w:rsidR="00E76DDE" w:rsidRPr="00997FFC">
        <w:rPr>
          <w:rFonts w:ascii="Verdana" w:hAnsi="Verdana" w:cs="Verdana"/>
          <w:b/>
          <w:bCs/>
          <w:iCs/>
          <w:sz w:val="22"/>
          <w:szCs w:val="22"/>
          <w:lang w:val="en-GB"/>
        </w:rPr>
        <w:t>.7</w:t>
      </w:r>
      <w:r w:rsidR="00E76DDE" w:rsidRPr="00E76DDE">
        <w:rPr>
          <w:rFonts w:ascii="Verdana" w:hAnsi="Verdana" w:cs="Verdana"/>
          <w:b/>
          <w:bCs/>
          <w:iCs/>
          <w:sz w:val="22"/>
          <w:szCs w:val="22"/>
          <w:lang w:val="en-GB"/>
        </w:rPr>
        <w:tab/>
      </w:r>
      <w:r w:rsidR="00195CBA" w:rsidRPr="00E76DDE">
        <w:rPr>
          <w:rFonts w:ascii="Verdana" w:hAnsi="Verdana" w:cs="Verdana"/>
          <w:b/>
          <w:bCs/>
          <w:iCs/>
          <w:sz w:val="22"/>
          <w:szCs w:val="22"/>
          <w:lang w:val="en-GB"/>
        </w:rPr>
        <w:t xml:space="preserve">Minimum deposit required by first time buyers </w:t>
      </w:r>
      <w:r w:rsidR="009D2C89" w:rsidRPr="00E76DDE">
        <w:rPr>
          <w:rFonts w:ascii="Verdana" w:hAnsi="Verdana" w:cs="Verdana"/>
          <w:b/>
          <w:bCs/>
          <w:iCs/>
          <w:sz w:val="22"/>
          <w:szCs w:val="22"/>
          <w:lang w:val="en-GB"/>
        </w:rPr>
        <w:t xml:space="preserve">in </w:t>
      </w:r>
      <w:r w:rsidR="00ED3F98">
        <w:rPr>
          <w:rFonts w:ascii="Verdana" w:hAnsi="Verdana" w:cs="Verdana"/>
          <w:b/>
          <w:bCs/>
          <w:iCs/>
          <w:sz w:val="22"/>
          <w:szCs w:val="22"/>
          <w:lang w:val="en-GB"/>
        </w:rPr>
        <w:t>Oakley</w:t>
      </w:r>
    </w:p>
    <w:p w:rsidR="00E76DDE" w:rsidRDefault="00E76DDE">
      <w:pPr>
        <w:rPr>
          <w:rFonts w:ascii="Verdana" w:hAnsi="Verdana" w:cs="Verdana"/>
          <w:sz w:val="22"/>
          <w:szCs w:val="22"/>
          <w:lang w:val="en-GB"/>
        </w:rPr>
      </w:pPr>
    </w:p>
    <w:p w:rsidR="00664FCE" w:rsidRPr="00822CBD" w:rsidRDefault="00CD08F8">
      <w:pPr>
        <w:rPr>
          <w:rFonts w:ascii="Verdana" w:hAnsi="Verdana" w:cs="Verdana"/>
          <w:bCs/>
          <w:lang w:val="en-GB"/>
        </w:rPr>
      </w:pPr>
      <w:r w:rsidRPr="00822CBD">
        <w:rPr>
          <w:rFonts w:ascii="Verdana" w:hAnsi="Verdana" w:cs="Verdana"/>
          <w:bCs/>
          <w:lang w:val="en-GB"/>
        </w:rPr>
        <w:t>Another major</w:t>
      </w:r>
      <w:r w:rsidR="009D2C89" w:rsidRPr="00822CBD">
        <w:rPr>
          <w:rFonts w:ascii="Verdana" w:hAnsi="Verdana" w:cs="Verdana"/>
          <w:bCs/>
          <w:lang w:val="en-GB"/>
        </w:rPr>
        <w:t xml:space="preserve"> barrier to entry to the property market for first-time buyers is the high deposit needed for a </w:t>
      </w:r>
      <w:r w:rsidRPr="00822CBD">
        <w:rPr>
          <w:rFonts w:ascii="Verdana" w:hAnsi="Verdana" w:cs="Verdana"/>
          <w:bCs/>
          <w:lang w:val="en-GB"/>
        </w:rPr>
        <w:t>competitive</w:t>
      </w:r>
      <w:r w:rsidR="009D2C89" w:rsidRPr="00822CBD">
        <w:rPr>
          <w:rFonts w:ascii="Verdana" w:hAnsi="Verdana" w:cs="Verdana"/>
          <w:bCs/>
          <w:lang w:val="en-GB"/>
        </w:rPr>
        <w:t xml:space="preserve"> mortgage rate. The average loan to value for first time buyers nationally in </w:t>
      </w:r>
      <w:r w:rsidR="004301BA" w:rsidRPr="00822CBD">
        <w:rPr>
          <w:rFonts w:ascii="Verdana" w:hAnsi="Verdana" w:cs="Verdana"/>
          <w:bCs/>
          <w:lang w:val="en-GB"/>
        </w:rPr>
        <w:t>May</w:t>
      </w:r>
      <w:r w:rsidR="008F12CA" w:rsidRPr="00822CBD">
        <w:rPr>
          <w:rFonts w:ascii="Verdana" w:hAnsi="Verdana" w:cs="Verdana"/>
          <w:bCs/>
          <w:lang w:val="en-GB"/>
        </w:rPr>
        <w:t xml:space="preserve"> </w:t>
      </w:r>
      <w:r w:rsidR="004301BA" w:rsidRPr="00822CBD">
        <w:rPr>
          <w:rFonts w:ascii="Verdana" w:hAnsi="Verdana" w:cs="Verdana"/>
          <w:bCs/>
          <w:lang w:val="en-GB"/>
        </w:rPr>
        <w:t>2015</w:t>
      </w:r>
      <w:r w:rsidR="009D2C89" w:rsidRPr="00822CBD">
        <w:rPr>
          <w:rFonts w:ascii="Verdana" w:hAnsi="Verdana" w:cs="Verdana"/>
          <w:bCs/>
          <w:lang w:val="en-GB"/>
        </w:rPr>
        <w:t xml:space="preserve"> was 8</w:t>
      </w:r>
      <w:r w:rsidR="00E76DDE" w:rsidRPr="00822CBD">
        <w:rPr>
          <w:rFonts w:ascii="Verdana" w:hAnsi="Verdana" w:cs="Verdana"/>
          <w:bCs/>
          <w:lang w:val="en-GB"/>
        </w:rPr>
        <w:t>1</w:t>
      </w:r>
      <w:r w:rsidR="009D2C89" w:rsidRPr="00822CBD">
        <w:rPr>
          <w:rFonts w:ascii="Verdana" w:hAnsi="Verdana" w:cs="Verdana"/>
          <w:bCs/>
          <w:lang w:val="en-GB"/>
        </w:rPr>
        <w:t>%</w:t>
      </w:r>
      <w:r w:rsidR="009D2C89" w:rsidRPr="00822CBD">
        <w:rPr>
          <w:rFonts w:ascii="Verdana" w:hAnsi="Verdana" w:cs="Verdana"/>
          <w:bCs/>
          <w:lang w:val="en-GB"/>
        </w:rPr>
        <w:footnoteReference w:id="6"/>
      </w:r>
      <w:r w:rsidR="00456602" w:rsidRPr="00822CBD">
        <w:rPr>
          <w:rFonts w:ascii="Verdana" w:hAnsi="Verdana" w:cs="Verdana"/>
          <w:bCs/>
          <w:lang w:val="en-GB"/>
        </w:rPr>
        <w:t>, meaning that the average deposit is 1</w:t>
      </w:r>
      <w:r w:rsidR="00E76DDE" w:rsidRPr="00822CBD">
        <w:rPr>
          <w:rFonts w:ascii="Verdana" w:hAnsi="Verdana" w:cs="Verdana"/>
          <w:bCs/>
          <w:lang w:val="en-GB"/>
        </w:rPr>
        <w:t>9</w:t>
      </w:r>
      <w:r w:rsidR="00456602" w:rsidRPr="00822CBD">
        <w:rPr>
          <w:rFonts w:ascii="Verdana" w:hAnsi="Verdana" w:cs="Verdana"/>
          <w:bCs/>
          <w:lang w:val="en-GB"/>
        </w:rPr>
        <w:t>%</w:t>
      </w:r>
      <w:r w:rsidR="009D2C89" w:rsidRPr="00822CBD">
        <w:rPr>
          <w:rFonts w:ascii="Verdana" w:hAnsi="Verdana" w:cs="Verdana"/>
          <w:bCs/>
          <w:lang w:val="en-GB"/>
        </w:rPr>
        <w:t xml:space="preserve">. </w:t>
      </w:r>
    </w:p>
    <w:p w:rsidR="00664FCE" w:rsidRPr="00822CBD" w:rsidRDefault="00664FCE">
      <w:pPr>
        <w:rPr>
          <w:rFonts w:ascii="Verdana" w:hAnsi="Verdana" w:cs="Verdana"/>
          <w:bCs/>
          <w:lang w:val="en-GB"/>
        </w:rPr>
      </w:pPr>
    </w:p>
    <w:p w:rsidR="009D2C89" w:rsidRPr="00822CBD" w:rsidRDefault="00664FCE">
      <w:pPr>
        <w:rPr>
          <w:rFonts w:ascii="Verdana" w:hAnsi="Verdana" w:cs="Verdana"/>
          <w:bCs/>
          <w:lang w:val="en-GB"/>
        </w:rPr>
      </w:pPr>
      <w:r w:rsidRPr="00822CBD">
        <w:rPr>
          <w:rFonts w:ascii="Verdana" w:hAnsi="Verdana" w:cs="Verdana"/>
          <w:bCs/>
          <w:lang w:val="en-GB"/>
        </w:rPr>
        <w:t>S</w:t>
      </w:r>
      <w:r w:rsidR="009D2C89" w:rsidRPr="00822CBD">
        <w:rPr>
          <w:rFonts w:ascii="Verdana" w:hAnsi="Verdana" w:cs="Verdana"/>
          <w:bCs/>
          <w:lang w:val="en-GB"/>
        </w:rPr>
        <w:t>maller deposit mortgages</w:t>
      </w:r>
      <w:r w:rsidRPr="00822CBD">
        <w:rPr>
          <w:rFonts w:ascii="Verdana" w:hAnsi="Verdana" w:cs="Verdana"/>
          <w:bCs/>
          <w:lang w:val="en-GB"/>
        </w:rPr>
        <w:t xml:space="preserve"> all but disappeared </w:t>
      </w:r>
      <w:r w:rsidR="00CD08F8" w:rsidRPr="00822CBD">
        <w:rPr>
          <w:rFonts w:ascii="Verdana" w:hAnsi="Verdana" w:cs="Verdana"/>
          <w:bCs/>
          <w:lang w:val="en-GB"/>
        </w:rPr>
        <w:t xml:space="preserve">following </w:t>
      </w:r>
      <w:r w:rsidRPr="00822CBD">
        <w:rPr>
          <w:rFonts w:ascii="Verdana" w:hAnsi="Verdana" w:cs="Verdana"/>
          <w:bCs/>
          <w:lang w:val="en-GB"/>
        </w:rPr>
        <w:t>th</w:t>
      </w:r>
      <w:r w:rsidR="00CD08F8" w:rsidRPr="00822CBD">
        <w:rPr>
          <w:rFonts w:ascii="Verdana" w:hAnsi="Verdana" w:cs="Verdana"/>
          <w:bCs/>
          <w:lang w:val="en-GB"/>
        </w:rPr>
        <w:t>e onset of the financial crisis</w:t>
      </w:r>
      <w:r w:rsidRPr="00822CBD">
        <w:rPr>
          <w:rFonts w:ascii="Verdana" w:hAnsi="Verdana" w:cs="Verdana"/>
          <w:bCs/>
          <w:lang w:val="en-GB"/>
        </w:rPr>
        <w:t>.  However, Phase 2 of t</w:t>
      </w:r>
      <w:r w:rsidR="009D2C89" w:rsidRPr="00822CBD">
        <w:rPr>
          <w:rFonts w:ascii="Verdana" w:hAnsi="Verdana" w:cs="Verdana"/>
          <w:bCs/>
          <w:lang w:val="en-GB"/>
        </w:rPr>
        <w:t xml:space="preserve">he government’s </w:t>
      </w:r>
      <w:r w:rsidRPr="00822CBD">
        <w:rPr>
          <w:rFonts w:ascii="Verdana" w:hAnsi="Verdana" w:cs="Verdana"/>
          <w:bCs/>
          <w:lang w:val="en-GB"/>
        </w:rPr>
        <w:t xml:space="preserve">Help to Buy scheme </w:t>
      </w:r>
      <w:r w:rsidR="00CD08F8" w:rsidRPr="00822CBD">
        <w:rPr>
          <w:rFonts w:ascii="Verdana" w:hAnsi="Verdana" w:cs="Verdana"/>
          <w:bCs/>
          <w:lang w:val="en-GB"/>
        </w:rPr>
        <w:t>has more recently facilitated a market in mortgages for first-time buyers at up to 95% loan to value</w:t>
      </w:r>
      <w:r w:rsidRPr="00822CBD">
        <w:rPr>
          <w:rFonts w:ascii="Verdana" w:hAnsi="Verdana" w:cs="Verdana"/>
          <w:bCs/>
          <w:lang w:val="en-GB"/>
        </w:rPr>
        <w:t xml:space="preserve">. </w:t>
      </w:r>
      <w:r w:rsidR="00CD08F8" w:rsidRPr="00822CBD">
        <w:rPr>
          <w:rFonts w:ascii="Verdana" w:hAnsi="Verdana" w:cs="Verdana"/>
          <w:bCs/>
          <w:lang w:val="en-GB"/>
        </w:rPr>
        <w:t>T</w:t>
      </w:r>
      <w:r w:rsidRPr="00822CBD">
        <w:rPr>
          <w:rFonts w:ascii="Verdana" w:hAnsi="Verdana" w:cs="Verdana"/>
          <w:bCs/>
          <w:lang w:val="en-GB"/>
        </w:rPr>
        <w:t xml:space="preserve">hese mortgages </w:t>
      </w:r>
      <w:r w:rsidR="00CD08F8" w:rsidRPr="00822CBD">
        <w:rPr>
          <w:rFonts w:ascii="Verdana" w:hAnsi="Verdana" w:cs="Verdana"/>
          <w:bCs/>
          <w:lang w:val="en-GB"/>
        </w:rPr>
        <w:t xml:space="preserve">are generally offered </w:t>
      </w:r>
      <w:r w:rsidRPr="00822CBD">
        <w:rPr>
          <w:rFonts w:ascii="Verdana" w:hAnsi="Verdana" w:cs="Verdana"/>
          <w:bCs/>
          <w:lang w:val="en-GB"/>
        </w:rPr>
        <w:t>at higher rates of interest than for buyers with larger deposits.</w:t>
      </w:r>
    </w:p>
    <w:p w:rsidR="009D2C89" w:rsidRPr="00822CBD" w:rsidRDefault="009D2C89">
      <w:pPr>
        <w:rPr>
          <w:rFonts w:ascii="Verdana" w:hAnsi="Verdana" w:cs="Verdana"/>
          <w:bCs/>
          <w:lang w:val="en-GB"/>
        </w:rPr>
      </w:pPr>
    </w:p>
    <w:p w:rsidR="00B8288B" w:rsidRDefault="00CD08F8">
      <w:pPr>
        <w:rPr>
          <w:rFonts w:ascii="Verdana" w:hAnsi="Verdana" w:cs="Verdana"/>
          <w:b/>
          <w:bCs/>
          <w:lang w:val="en-GB"/>
        </w:rPr>
      </w:pPr>
      <w:r w:rsidRPr="00822CBD">
        <w:rPr>
          <w:rFonts w:ascii="Verdana" w:hAnsi="Verdana" w:cs="Verdana"/>
          <w:bCs/>
          <w:lang w:val="en-GB"/>
        </w:rPr>
        <w:lastRenderedPageBreak/>
        <w:t>At 95% loan to value</w:t>
      </w:r>
      <w:r w:rsidR="009D2C89" w:rsidRPr="00822CBD">
        <w:rPr>
          <w:rFonts w:ascii="Verdana" w:hAnsi="Verdana" w:cs="Verdana"/>
          <w:bCs/>
          <w:lang w:val="en-GB"/>
        </w:rPr>
        <w:t>, a first-time buyer household</w:t>
      </w:r>
      <w:r w:rsidR="00664FCE" w:rsidRPr="00822CBD">
        <w:rPr>
          <w:rFonts w:ascii="Verdana" w:hAnsi="Verdana" w:cs="Verdana"/>
          <w:bCs/>
          <w:lang w:val="en-GB"/>
        </w:rPr>
        <w:t xml:space="preserve"> </w:t>
      </w:r>
      <w:r w:rsidR="009A48C1" w:rsidRPr="00822CBD">
        <w:rPr>
          <w:rFonts w:ascii="Verdana" w:hAnsi="Verdana" w:cs="Verdana"/>
          <w:bCs/>
          <w:lang w:val="en-GB"/>
        </w:rPr>
        <w:t xml:space="preserve">would need </w:t>
      </w:r>
      <w:r w:rsidR="00664FCE" w:rsidRPr="00822CBD">
        <w:rPr>
          <w:rFonts w:ascii="Verdana" w:hAnsi="Verdana" w:cs="Verdana"/>
          <w:bCs/>
          <w:lang w:val="en-GB"/>
        </w:rPr>
        <w:t xml:space="preserve">a </w:t>
      </w:r>
      <w:r w:rsidR="009D2C89" w:rsidRPr="00822CBD">
        <w:rPr>
          <w:rFonts w:ascii="Verdana" w:hAnsi="Verdana" w:cs="Verdana"/>
          <w:bCs/>
          <w:lang w:val="en-GB"/>
        </w:rPr>
        <w:t xml:space="preserve">deposit of </w:t>
      </w:r>
      <w:r w:rsidR="00F524BC" w:rsidRPr="00822CBD">
        <w:rPr>
          <w:rFonts w:ascii="Verdana" w:hAnsi="Verdana" w:cs="Verdana"/>
          <w:bCs/>
          <w:lang w:val="en-GB"/>
        </w:rPr>
        <w:t xml:space="preserve">around </w:t>
      </w:r>
      <w:r w:rsidR="009D2C89" w:rsidRPr="00822CBD">
        <w:rPr>
          <w:rFonts w:ascii="Verdana" w:hAnsi="Verdana" w:cs="Verdana"/>
          <w:bCs/>
          <w:lang w:val="en-GB"/>
        </w:rPr>
        <w:t>£</w:t>
      </w:r>
      <w:r w:rsidR="009A48C1" w:rsidRPr="00822CBD">
        <w:rPr>
          <w:rFonts w:ascii="Verdana" w:hAnsi="Verdana" w:cs="Verdana"/>
          <w:bCs/>
          <w:lang w:val="en-GB"/>
        </w:rPr>
        <w:t>14</w:t>
      </w:r>
      <w:r w:rsidR="009D2C89" w:rsidRPr="00822CBD">
        <w:rPr>
          <w:rFonts w:ascii="Verdana" w:hAnsi="Verdana" w:cs="Verdana"/>
          <w:bCs/>
          <w:lang w:val="en-GB"/>
        </w:rPr>
        <w:t>,</w:t>
      </w:r>
      <w:r w:rsidR="009A48C1" w:rsidRPr="00822CBD">
        <w:rPr>
          <w:rFonts w:ascii="Verdana" w:hAnsi="Verdana" w:cs="Verdana"/>
          <w:bCs/>
          <w:lang w:val="en-GB"/>
        </w:rPr>
        <w:t>7</w:t>
      </w:r>
      <w:r w:rsidR="008314F6" w:rsidRPr="00822CBD">
        <w:rPr>
          <w:rFonts w:ascii="Verdana" w:hAnsi="Verdana" w:cs="Verdana"/>
          <w:bCs/>
          <w:lang w:val="en-GB"/>
        </w:rPr>
        <w:t>50</w:t>
      </w:r>
      <w:r w:rsidR="00997FFC" w:rsidRPr="00822CBD">
        <w:rPr>
          <w:rFonts w:ascii="Verdana" w:hAnsi="Verdana" w:cs="Verdana"/>
          <w:bCs/>
          <w:lang w:val="en-GB"/>
        </w:rPr>
        <w:t xml:space="preserve"> to purchase the cheapest property currently on the market (4 bed house at £295,000)</w:t>
      </w:r>
      <w:r w:rsidR="009D2C89" w:rsidRPr="00822CBD">
        <w:rPr>
          <w:rFonts w:ascii="Verdana" w:hAnsi="Verdana" w:cs="Verdana"/>
          <w:bCs/>
          <w:lang w:val="en-GB"/>
        </w:rPr>
        <w:t>.</w:t>
      </w:r>
      <w:r w:rsidR="00997FFC" w:rsidRPr="00822CBD">
        <w:rPr>
          <w:rFonts w:ascii="Verdana" w:hAnsi="Verdana" w:cs="Verdana"/>
          <w:bCs/>
          <w:lang w:val="en-GB"/>
        </w:rPr>
        <w:t xml:space="preserve"> </w:t>
      </w:r>
      <w:r w:rsidR="009D2C89" w:rsidRPr="00822CBD">
        <w:rPr>
          <w:rFonts w:ascii="Verdana" w:hAnsi="Verdana" w:cs="Verdana"/>
          <w:bCs/>
          <w:lang w:val="en-GB"/>
        </w:rPr>
        <w:t xml:space="preserve"> </w:t>
      </w:r>
      <w:r w:rsidRPr="00822CBD">
        <w:rPr>
          <w:rFonts w:ascii="Verdana" w:hAnsi="Verdana" w:cs="Verdana"/>
          <w:bCs/>
          <w:lang w:val="en-GB"/>
        </w:rPr>
        <w:t>At the current average of 8</w:t>
      </w:r>
      <w:r w:rsidR="00F524BC" w:rsidRPr="00822CBD">
        <w:rPr>
          <w:rFonts w:ascii="Verdana" w:hAnsi="Verdana" w:cs="Verdana"/>
          <w:bCs/>
          <w:lang w:val="en-GB"/>
        </w:rPr>
        <w:t>1</w:t>
      </w:r>
      <w:r w:rsidRPr="00822CBD">
        <w:rPr>
          <w:rFonts w:ascii="Verdana" w:hAnsi="Verdana" w:cs="Verdana"/>
          <w:bCs/>
          <w:lang w:val="en-GB"/>
        </w:rPr>
        <w:t xml:space="preserve">% loan to value, </w:t>
      </w:r>
      <w:r w:rsidR="001140F9" w:rsidRPr="00822CBD">
        <w:rPr>
          <w:rFonts w:ascii="Verdana" w:hAnsi="Verdana" w:cs="Verdana"/>
          <w:bCs/>
          <w:lang w:val="en-GB"/>
        </w:rPr>
        <w:t xml:space="preserve">a deposit of </w:t>
      </w:r>
      <w:r w:rsidR="00F524BC" w:rsidRPr="00822CBD">
        <w:rPr>
          <w:rFonts w:ascii="Verdana" w:hAnsi="Verdana" w:cs="Verdana"/>
          <w:bCs/>
          <w:lang w:val="en-GB"/>
        </w:rPr>
        <w:t xml:space="preserve">around </w:t>
      </w:r>
      <w:r w:rsidR="001140F9" w:rsidRPr="00822CBD">
        <w:rPr>
          <w:rFonts w:ascii="Verdana" w:hAnsi="Verdana" w:cs="Verdana"/>
          <w:bCs/>
          <w:lang w:val="en-GB"/>
        </w:rPr>
        <w:t>£</w:t>
      </w:r>
      <w:r w:rsidR="00997FFC" w:rsidRPr="00822CBD">
        <w:rPr>
          <w:rFonts w:ascii="Verdana" w:hAnsi="Verdana" w:cs="Verdana"/>
          <w:bCs/>
          <w:lang w:val="en-GB"/>
        </w:rPr>
        <w:t>56</w:t>
      </w:r>
      <w:r w:rsidR="00625F10" w:rsidRPr="00822CBD">
        <w:rPr>
          <w:rFonts w:ascii="Verdana" w:hAnsi="Verdana" w:cs="Verdana"/>
          <w:bCs/>
          <w:lang w:val="en-GB"/>
        </w:rPr>
        <w:t>,</w:t>
      </w:r>
      <w:r w:rsidR="00997FFC" w:rsidRPr="00822CBD">
        <w:rPr>
          <w:rFonts w:ascii="Verdana" w:hAnsi="Verdana" w:cs="Verdana"/>
          <w:bCs/>
          <w:lang w:val="en-GB"/>
        </w:rPr>
        <w:t>0</w:t>
      </w:r>
      <w:r w:rsidR="00625F10" w:rsidRPr="00822CBD">
        <w:rPr>
          <w:rFonts w:ascii="Verdana" w:hAnsi="Verdana" w:cs="Verdana"/>
          <w:bCs/>
          <w:lang w:val="en-GB"/>
        </w:rPr>
        <w:t>00 would be required.</w:t>
      </w:r>
    </w:p>
    <w:p w:rsidR="00D4362D" w:rsidRDefault="00D4362D">
      <w:pPr>
        <w:widowControl/>
        <w:overflowPunct/>
        <w:adjustRightInd/>
        <w:rPr>
          <w:rFonts w:ascii="Verdana" w:hAnsi="Verdana" w:cs="Verdana"/>
          <w:b/>
          <w:bCs/>
          <w:lang w:val="en-GB"/>
        </w:rPr>
      </w:pPr>
      <w:r>
        <w:rPr>
          <w:rFonts w:ascii="Verdana" w:hAnsi="Verdana" w:cs="Verdana"/>
          <w:b/>
          <w:bCs/>
          <w:lang w:val="en-GB"/>
        </w:rPr>
        <w:br w:type="page"/>
      </w:r>
    </w:p>
    <w:p w:rsidR="008314F6" w:rsidRDefault="0052597E">
      <w:pPr>
        <w:rPr>
          <w:rFonts w:ascii="Verdana" w:hAnsi="Verdana" w:cs="Verdana"/>
          <w:b/>
          <w:bCs/>
          <w:lang w:val="en-GB"/>
        </w:rPr>
      </w:pPr>
      <w:r>
        <w:rPr>
          <w:rFonts w:ascii="Verdana" w:hAnsi="Verdana" w:cs="Verdana"/>
          <w:b/>
          <w:bCs/>
          <w:lang w:val="en-GB"/>
        </w:rPr>
        <w:lastRenderedPageBreak/>
        <w:t>4</w:t>
      </w:r>
      <w:r w:rsidR="009D2C89">
        <w:rPr>
          <w:rFonts w:ascii="Verdana" w:hAnsi="Verdana" w:cs="Verdana"/>
          <w:b/>
          <w:bCs/>
          <w:lang w:val="en-GB"/>
        </w:rPr>
        <w:t>.</w:t>
      </w:r>
      <w:r w:rsidR="008314F6">
        <w:rPr>
          <w:rFonts w:ascii="Verdana" w:hAnsi="Verdana" w:cs="Verdana"/>
          <w:b/>
          <w:bCs/>
          <w:lang w:val="en-GB"/>
        </w:rPr>
        <w:t xml:space="preserve"> Survey process and response</w:t>
      </w:r>
    </w:p>
    <w:p w:rsidR="008314F6" w:rsidRDefault="008314F6">
      <w:pPr>
        <w:rPr>
          <w:rFonts w:ascii="Verdana" w:hAnsi="Verdana" w:cs="Verdana"/>
          <w:b/>
          <w:bCs/>
          <w:lang w:val="en-GB"/>
        </w:rPr>
      </w:pPr>
    </w:p>
    <w:p w:rsidR="008314F6" w:rsidRDefault="008314F6">
      <w:pPr>
        <w:rPr>
          <w:rFonts w:ascii="Verdana" w:hAnsi="Verdana" w:cs="Verdana"/>
          <w:bCs/>
          <w:lang w:val="en-GB"/>
        </w:rPr>
      </w:pPr>
      <w:r w:rsidRPr="008314F6">
        <w:rPr>
          <w:rFonts w:ascii="Verdana" w:hAnsi="Verdana" w:cs="Verdana"/>
          <w:bCs/>
          <w:lang w:val="en-GB"/>
        </w:rPr>
        <w:t>To</w:t>
      </w:r>
      <w:r>
        <w:rPr>
          <w:rFonts w:ascii="Verdana" w:hAnsi="Verdana" w:cs="Verdana"/>
          <w:b/>
          <w:bCs/>
          <w:lang w:val="en-GB"/>
        </w:rPr>
        <w:t xml:space="preserve"> </w:t>
      </w:r>
      <w:r w:rsidRPr="008314F6">
        <w:rPr>
          <w:rFonts w:ascii="Verdana" w:hAnsi="Verdana" w:cs="Verdana"/>
          <w:bCs/>
          <w:lang w:val="en-GB"/>
        </w:rPr>
        <w:t>study</w:t>
      </w:r>
      <w:r>
        <w:rPr>
          <w:rFonts w:ascii="Verdana" w:hAnsi="Verdana" w:cs="Verdana"/>
          <w:bCs/>
          <w:lang w:val="en-GB"/>
        </w:rPr>
        <w:t xml:space="preserve"> the need for affordable housing in </w:t>
      </w:r>
      <w:r w:rsidR="00997FFC">
        <w:rPr>
          <w:rFonts w:ascii="Verdana" w:hAnsi="Verdana" w:cs="Verdana"/>
          <w:bCs/>
          <w:lang w:val="en-GB"/>
        </w:rPr>
        <w:t>Oakley</w:t>
      </w:r>
      <w:r>
        <w:rPr>
          <w:rFonts w:ascii="Verdana" w:hAnsi="Verdana" w:cs="Verdana"/>
          <w:bCs/>
          <w:lang w:val="en-GB"/>
        </w:rPr>
        <w:t>, a survey form (appendix A) was delivered to all households within the parish boundary, together with a FREEPOST envelope to enable residents to return their completed survey to BRCC.  The survey form also gave the contact details to request additional</w:t>
      </w:r>
      <w:r w:rsidR="00805169">
        <w:rPr>
          <w:rFonts w:ascii="Verdana" w:hAnsi="Verdana" w:cs="Verdana"/>
          <w:bCs/>
          <w:lang w:val="en-GB"/>
        </w:rPr>
        <w:t xml:space="preserve"> survey</w:t>
      </w:r>
      <w:r>
        <w:rPr>
          <w:rFonts w:ascii="Verdana" w:hAnsi="Verdana" w:cs="Verdana"/>
          <w:bCs/>
          <w:lang w:val="en-GB"/>
        </w:rPr>
        <w:t xml:space="preserve"> forms in the event of there being more than one case of housing need in the household.</w:t>
      </w:r>
    </w:p>
    <w:p w:rsidR="008314F6" w:rsidRDefault="008314F6">
      <w:pPr>
        <w:rPr>
          <w:rFonts w:ascii="Verdana" w:hAnsi="Verdana" w:cs="Verdana"/>
          <w:bCs/>
          <w:lang w:val="en-GB"/>
        </w:rPr>
      </w:pPr>
    </w:p>
    <w:p w:rsidR="008314F6" w:rsidRDefault="008314F6">
      <w:pPr>
        <w:rPr>
          <w:rFonts w:ascii="Verdana" w:hAnsi="Verdana" w:cs="Verdana"/>
          <w:bCs/>
          <w:lang w:val="en-GB"/>
        </w:rPr>
      </w:pPr>
      <w:r>
        <w:rPr>
          <w:rFonts w:ascii="Verdana" w:hAnsi="Verdana" w:cs="Verdana"/>
          <w:bCs/>
          <w:lang w:val="en-GB"/>
        </w:rPr>
        <w:t xml:space="preserve">The survey form was in two parts.  Section 1 was for </w:t>
      </w:r>
      <w:r w:rsidR="00C645B8">
        <w:rPr>
          <w:rFonts w:ascii="Verdana" w:hAnsi="Verdana" w:cs="Verdana"/>
          <w:bCs/>
          <w:lang w:val="en-GB"/>
        </w:rPr>
        <w:t>completion</w:t>
      </w:r>
      <w:r>
        <w:rPr>
          <w:rFonts w:ascii="Verdana" w:hAnsi="Verdana" w:cs="Verdana"/>
          <w:bCs/>
          <w:lang w:val="en-GB"/>
        </w:rPr>
        <w:t xml:space="preserve"> by all respondents and aimed to gain their views on overall housing</w:t>
      </w:r>
      <w:r w:rsidR="00C645B8">
        <w:rPr>
          <w:rFonts w:ascii="Verdana" w:hAnsi="Verdana" w:cs="Verdana"/>
          <w:bCs/>
          <w:lang w:val="en-GB"/>
        </w:rPr>
        <w:t xml:space="preserve"> needs in </w:t>
      </w:r>
      <w:r w:rsidR="00997FFC">
        <w:rPr>
          <w:rFonts w:ascii="Verdana" w:hAnsi="Verdana" w:cs="Verdana"/>
          <w:bCs/>
          <w:lang w:val="en-GB"/>
        </w:rPr>
        <w:t>Oakley</w:t>
      </w:r>
      <w:r>
        <w:rPr>
          <w:rFonts w:ascii="Verdana" w:hAnsi="Verdana" w:cs="Verdana"/>
          <w:bCs/>
          <w:lang w:val="en-GB"/>
        </w:rPr>
        <w:t xml:space="preserve"> (see chapter 5).  Section 2 wa</w:t>
      </w:r>
      <w:r w:rsidR="00805169">
        <w:rPr>
          <w:rFonts w:ascii="Verdana" w:hAnsi="Verdana" w:cs="Verdana"/>
          <w:bCs/>
          <w:lang w:val="en-GB"/>
        </w:rPr>
        <w:t>s for completion by or on</w:t>
      </w:r>
      <w:r>
        <w:rPr>
          <w:rFonts w:ascii="Verdana" w:hAnsi="Verdana" w:cs="Verdana"/>
          <w:bCs/>
          <w:lang w:val="en-GB"/>
        </w:rPr>
        <w:t xml:space="preserve"> behalf of any household member currently looking for different accommodation, or who would be looking within the next </w:t>
      </w:r>
      <w:r w:rsidR="00997FFC">
        <w:rPr>
          <w:rFonts w:ascii="Verdana" w:hAnsi="Verdana" w:cs="Verdana"/>
          <w:bCs/>
          <w:lang w:val="en-GB"/>
        </w:rPr>
        <w:t>1</w:t>
      </w:r>
      <w:r w:rsidR="00622A6C">
        <w:rPr>
          <w:rFonts w:ascii="Verdana" w:hAnsi="Verdana" w:cs="Verdana"/>
          <w:bCs/>
          <w:lang w:val="en-GB"/>
        </w:rPr>
        <w:t>0 years.  The findings from this section are analysed in chapters 6 and 7.</w:t>
      </w:r>
    </w:p>
    <w:p w:rsidR="00622A6C" w:rsidRDefault="00622A6C">
      <w:pPr>
        <w:rPr>
          <w:rFonts w:ascii="Verdana" w:hAnsi="Verdana" w:cs="Verdana"/>
          <w:bCs/>
          <w:lang w:val="en-GB"/>
        </w:rPr>
      </w:pPr>
    </w:p>
    <w:p w:rsidR="008314F6" w:rsidRDefault="00997FFC">
      <w:pPr>
        <w:rPr>
          <w:rFonts w:ascii="Verdana" w:hAnsi="Verdana" w:cs="Verdana"/>
          <w:b/>
          <w:bCs/>
          <w:lang w:val="en-GB"/>
        </w:rPr>
      </w:pPr>
      <w:r>
        <w:rPr>
          <w:rFonts w:ascii="Verdana" w:hAnsi="Verdana" w:cs="Verdana"/>
          <w:bCs/>
          <w:lang w:val="en-GB"/>
        </w:rPr>
        <w:t>We received 292</w:t>
      </w:r>
      <w:r w:rsidR="00F53801" w:rsidRPr="00C645B8">
        <w:rPr>
          <w:rFonts w:ascii="Verdana" w:hAnsi="Verdana" w:cs="Verdana"/>
          <w:bCs/>
          <w:lang w:val="en-GB"/>
        </w:rPr>
        <w:t xml:space="preserve"> responses from around </w:t>
      </w:r>
      <w:r>
        <w:rPr>
          <w:rFonts w:ascii="Verdana" w:hAnsi="Verdana" w:cs="Verdana"/>
          <w:bCs/>
          <w:lang w:val="en-GB"/>
        </w:rPr>
        <w:t>948</w:t>
      </w:r>
      <w:r w:rsidR="00622A6C" w:rsidRPr="00C645B8">
        <w:rPr>
          <w:rFonts w:ascii="Verdana" w:hAnsi="Verdana" w:cs="Verdana"/>
          <w:bCs/>
          <w:lang w:val="en-GB"/>
        </w:rPr>
        <w:t xml:space="preserve"> distrib</w:t>
      </w:r>
      <w:r>
        <w:rPr>
          <w:rFonts w:ascii="Verdana" w:hAnsi="Verdana" w:cs="Verdana"/>
          <w:bCs/>
          <w:lang w:val="en-GB"/>
        </w:rPr>
        <w:t>uted, a return rate of around 27</w:t>
      </w:r>
      <w:r w:rsidR="00622A6C" w:rsidRPr="00C645B8">
        <w:rPr>
          <w:rFonts w:ascii="Verdana" w:hAnsi="Verdana" w:cs="Verdana"/>
          <w:bCs/>
          <w:lang w:val="en-GB"/>
        </w:rPr>
        <w:t xml:space="preserve">%.  This is a good response rate for a housing needs survey (typical return rate is </w:t>
      </w:r>
      <w:r w:rsidR="00C645B8" w:rsidRPr="00C645B8">
        <w:rPr>
          <w:rFonts w:ascii="Verdana" w:hAnsi="Verdana" w:cs="Verdana"/>
          <w:bCs/>
          <w:lang w:val="en-GB"/>
        </w:rPr>
        <w:t xml:space="preserve">approximately </w:t>
      </w:r>
      <w:r w:rsidR="00622A6C" w:rsidRPr="00C645B8">
        <w:rPr>
          <w:rFonts w:ascii="Verdana" w:hAnsi="Verdana" w:cs="Verdana"/>
          <w:bCs/>
          <w:lang w:val="en-GB"/>
        </w:rPr>
        <w:t>20</w:t>
      </w:r>
      <w:r>
        <w:rPr>
          <w:rFonts w:ascii="Verdana" w:hAnsi="Verdana" w:cs="Verdana"/>
          <w:bCs/>
          <w:lang w:val="en-GB"/>
        </w:rPr>
        <w:t xml:space="preserve"> to 25</w:t>
      </w:r>
      <w:r w:rsidR="00622A6C" w:rsidRPr="00C645B8">
        <w:rPr>
          <w:rFonts w:ascii="Verdana" w:hAnsi="Verdana" w:cs="Verdana"/>
          <w:bCs/>
          <w:lang w:val="en-GB"/>
        </w:rPr>
        <w:t>%)</w:t>
      </w:r>
    </w:p>
    <w:p w:rsidR="008314F6" w:rsidRDefault="008314F6">
      <w:pPr>
        <w:rPr>
          <w:rFonts w:ascii="Verdana" w:hAnsi="Verdana" w:cs="Verdana"/>
          <w:b/>
          <w:bCs/>
          <w:lang w:val="en-GB"/>
        </w:rPr>
      </w:pPr>
    </w:p>
    <w:p w:rsidR="009D2C89" w:rsidRDefault="00622A6C">
      <w:pPr>
        <w:rPr>
          <w:rFonts w:ascii="Verdana" w:hAnsi="Verdana" w:cs="Verdana"/>
          <w:b/>
          <w:bCs/>
          <w:lang w:val="en-GB"/>
        </w:rPr>
      </w:pPr>
      <w:r w:rsidRPr="0039113A">
        <w:rPr>
          <w:rFonts w:ascii="Verdana" w:hAnsi="Verdana" w:cs="Verdana"/>
          <w:b/>
          <w:bCs/>
          <w:lang w:val="en-GB"/>
        </w:rPr>
        <w:t>5</w:t>
      </w:r>
      <w:r w:rsidRPr="00EC5616">
        <w:rPr>
          <w:rFonts w:ascii="Verdana" w:hAnsi="Verdana" w:cs="Verdana"/>
          <w:b/>
          <w:bCs/>
          <w:lang w:val="en-GB"/>
        </w:rPr>
        <w:t xml:space="preserve">. Views on housing needs in </w:t>
      </w:r>
      <w:r w:rsidR="00997FFC">
        <w:rPr>
          <w:rFonts w:ascii="Verdana" w:hAnsi="Verdana" w:cs="Verdana"/>
          <w:b/>
          <w:bCs/>
          <w:lang w:val="en-GB"/>
        </w:rPr>
        <w:t>Oakley</w:t>
      </w:r>
      <w:r>
        <w:rPr>
          <w:rFonts w:ascii="Verdana" w:hAnsi="Verdana" w:cs="Verdana"/>
          <w:b/>
          <w:bCs/>
          <w:lang w:val="en-GB"/>
        </w:rPr>
        <w:t xml:space="preserve"> </w:t>
      </w:r>
    </w:p>
    <w:p w:rsidR="00C645B8" w:rsidRDefault="00C645B8">
      <w:pPr>
        <w:rPr>
          <w:rFonts w:ascii="Verdana" w:hAnsi="Verdana" w:cs="Verdana"/>
          <w:b/>
          <w:bCs/>
          <w:lang w:val="en-GB"/>
        </w:rPr>
      </w:pPr>
    </w:p>
    <w:p w:rsidR="00C645B8" w:rsidRPr="00805169" w:rsidRDefault="0039113A" w:rsidP="00C645B8">
      <w:pPr>
        <w:rPr>
          <w:rFonts w:ascii="Verdana" w:hAnsi="Verdana" w:cs="Verdana"/>
          <w:lang w:val="en-GB"/>
        </w:rPr>
      </w:pPr>
      <w:r>
        <w:rPr>
          <w:rFonts w:ascii="Verdana" w:hAnsi="Verdana" w:cs="Verdana"/>
          <w:lang w:val="en-GB"/>
        </w:rPr>
        <w:t>67</w:t>
      </w:r>
      <w:r w:rsidR="00125750" w:rsidRPr="00805169">
        <w:rPr>
          <w:rFonts w:ascii="Verdana" w:hAnsi="Verdana" w:cs="Verdana"/>
          <w:lang w:val="en-GB"/>
        </w:rPr>
        <w:t>.</w:t>
      </w:r>
      <w:r>
        <w:rPr>
          <w:rFonts w:ascii="Verdana" w:hAnsi="Verdana" w:cs="Verdana"/>
          <w:lang w:val="en-GB"/>
        </w:rPr>
        <w:t>6</w:t>
      </w:r>
      <w:r w:rsidR="00C645B8" w:rsidRPr="00805169">
        <w:rPr>
          <w:rFonts w:ascii="Verdana" w:hAnsi="Verdana" w:cs="Verdana"/>
          <w:lang w:val="en-GB"/>
        </w:rPr>
        <w:t>% of respondents thought that there was a need for one or more types of new housing in the parish (Q1). The % of respondents in favour of each specific type of housing was as follows: (respondents could tick more than one option)</w:t>
      </w:r>
    </w:p>
    <w:p w:rsidR="00C645B8" w:rsidRDefault="00C645B8" w:rsidP="00C645B8">
      <w:pPr>
        <w:rPr>
          <w:rFonts w:ascii="Verdana" w:hAnsi="Verdana" w:cs="Verdana"/>
          <w:sz w:val="22"/>
          <w:szCs w:val="22"/>
          <w:lang w:val="en-GB"/>
        </w:rPr>
      </w:pPr>
    </w:p>
    <w:tbl>
      <w:tblPr>
        <w:tblW w:w="10245" w:type="dxa"/>
        <w:tblLayout w:type="fixed"/>
        <w:tblCellMar>
          <w:left w:w="180" w:type="dxa"/>
          <w:right w:w="180" w:type="dxa"/>
        </w:tblCellMar>
        <w:tblLook w:val="04A0" w:firstRow="1" w:lastRow="0" w:firstColumn="1" w:lastColumn="0" w:noHBand="0" w:noVBand="1"/>
      </w:tblPr>
      <w:tblGrid>
        <w:gridCol w:w="7671"/>
        <w:gridCol w:w="2574"/>
      </w:tblGrid>
      <w:tr w:rsidR="00C645B8" w:rsidRPr="00805169" w:rsidTr="00EC5616">
        <w:tc>
          <w:tcPr>
            <w:tcW w:w="7671" w:type="dxa"/>
            <w:tcBorders>
              <w:top w:val="single" w:sz="8" w:space="0" w:color="auto"/>
              <w:left w:val="single" w:sz="8" w:space="0" w:color="auto"/>
              <w:bottom w:val="single" w:sz="8" w:space="0" w:color="auto"/>
              <w:right w:val="nil"/>
            </w:tcBorders>
            <w:hideMark/>
          </w:tcPr>
          <w:p w:rsidR="00C645B8" w:rsidRPr="00805169" w:rsidRDefault="00C645B8" w:rsidP="00EC5616">
            <w:pPr>
              <w:rPr>
                <w:rFonts w:ascii="Verdana" w:hAnsi="Verdana" w:cs="Verdana"/>
                <w:lang w:val="en-GB"/>
              </w:rPr>
            </w:pPr>
            <w:r w:rsidRPr="00805169">
              <w:rPr>
                <w:rFonts w:ascii="Verdana" w:hAnsi="Verdana" w:cs="Verdana"/>
                <w:b/>
                <w:bCs/>
                <w:lang w:val="en-GB"/>
              </w:rPr>
              <w:t>Housing type</w:t>
            </w:r>
          </w:p>
        </w:tc>
        <w:tc>
          <w:tcPr>
            <w:tcW w:w="2574" w:type="dxa"/>
            <w:tcBorders>
              <w:top w:val="single" w:sz="8" w:space="0" w:color="auto"/>
              <w:left w:val="single" w:sz="8" w:space="0" w:color="auto"/>
              <w:bottom w:val="single" w:sz="8" w:space="0" w:color="auto"/>
              <w:right w:val="single" w:sz="8" w:space="0" w:color="auto"/>
            </w:tcBorders>
            <w:hideMark/>
          </w:tcPr>
          <w:p w:rsidR="00C645B8" w:rsidRPr="00805169" w:rsidRDefault="00C645B8" w:rsidP="00EC5616">
            <w:pPr>
              <w:rPr>
                <w:rFonts w:ascii="Verdana" w:hAnsi="Verdana" w:cs="Verdana"/>
                <w:lang w:val="en-GB"/>
              </w:rPr>
            </w:pPr>
            <w:r w:rsidRPr="00805169">
              <w:rPr>
                <w:rFonts w:ascii="Verdana" w:hAnsi="Verdana" w:cs="Verdana"/>
                <w:b/>
                <w:bCs/>
                <w:lang w:val="en-GB"/>
              </w:rPr>
              <w:t>% of respondents</w:t>
            </w:r>
          </w:p>
        </w:tc>
      </w:tr>
      <w:tr w:rsidR="00C645B8" w:rsidRPr="00805169"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Flats</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39113A" w:rsidP="00EC5616">
            <w:pPr>
              <w:rPr>
                <w:rFonts w:ascii="Verdana" w:hAnsi="Verdana" w:cs="Verdana"/>
                <w:lang w:val="en-GB"/>
              </w:rPr>
            </w:pPr>
            <w:r>
              <w:rPr>
                <w:rFonts w:ascii="Verdana" w:hAnsi="Verdana" w:cs="Verdana"/>
                <w:lang w:val="en-GB"/>
              </w:rPr>
              <w:t>6.7</w:t>
            </w:r>
          </w:p>
        </w:tc>
      </w:tr>
      <w:tr w:rsidR="00C645B8" w:rsidRPr="00805169"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Smaller houses (1-2 bedrooms)</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39113A" w:rsidP="00EC5616">
            <w:pPr>
              <w:rPr>
                <w:rFonts w:ascii="Verdana" w:hAnsi="Verdana" w:cs="Verdana"/>
                <w:lang w:val="en-GB"/>
              </w:rPr>
            </w:pPr>
            <w:r>
              <w:rPr>
                <w:rFonts w:ascii="Verdana" w:hAnsi="Verdana" w:cs="Verdana"/>
                <w:lang w:val="en-GB"/>
              </w:rPr>
              <w:t>44.0</w:t>
            </w:r>
          </w:p>
        </w:tc>
      </w:tr>
      <w:tr w:rsidR="00C645B8" w:rsidRPr="00805169"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rPr>
            </w:pPr>
            <w:r w:rsidRPr="00805169">
              <w:rPr>
                <w:rFonts w:ascii="Verdana" w:hAnsi="Verdana" w:cs="Verdana"/>
              </w:rPr>
              <w:t>Larger houses (3+ bedrooms)</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39113A" w:rsidP="00EC5616">
            <w:pPr>
              <w:rPr>
                <w:rFonts w:ascii="Verdana" w:hAnsi="Verdana" w:cs="Verdana"/>
                <w:lang w:val="en-GB"/>
              </w:rPr>
            </w:pPr>
            <w:r>
              <w:rPr>
                <w:rFonts w:ascii="Verdana" w:hAnsi="Verdana" w:cs="Verdana"/>
                <w:lang w:val="en-GB"/>
              </w:rPr>
              <w:t>18.0</w:t>
            </w:r>
          </w:p>
        </w:tc>
      </w:tr>
      <w:tr w:rsidR="00C645B8" w:rsidRPr="00805169"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Bungalows</w:t>
            </w:r>
            <w:r w:rsidR="00125750" w:rsidRPr="00805169">
              <w:rPr>
                <w:rFonts w:ascii="Verdana" w:hAnsi="Verdana" w:cs="Verdana"/>
                <w:lang w:val="en-GB"/>
              </w:rPr>
              <w:t xml:space="preserve"> / retirement housing</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39113A" w:rsidP="00EC5616">
            <w:pPr>
              <w:rPr>
                <w:rFonts w:ascii="Verdana" w:hAnsi="Verdana" w:cs="Verdana"/>
                <w:lang w:val="en-GB"/>
              </w:rPr>
            </w:pPr>
            <w:r>
              <w:rPr>
                <w:rFonts w:ascii="Verdana" w:hAnsi="Verdana" w:cs="Verdana"/>
                <w:lang w:val="en-GB"/>
              </w:rPr>
              <w:t>42.3</w:t>
            </w:r>
          </w:p>
        </w:tc>
      </w:tr>
      <w:tr w:rsidR="00C645B8" w:rsidRPr="00805169" w:rsidTr="00EC5616">
        <w:tc>
          <w:tcPr>
            <w:tcW w:w="7671" w:type="dxa"/>
            <w:tcBorders>
              <w:top w:val="single" w:sz="8" w:space="0" w:color="auto"/>
              <w:left w:val="single" w:sz="8" w:space="0" w:color="auto"/>
              <w:bottom w:val="single" w:sz="8" w:space="0" w:color="auto"/>
              <w:right w:val="nil"/>
            </w:tcBorders>
          </w:tcPr>
          <w:p w:rsidR="00C645B8" w:rsidRPr="00805169" w:rsidRDefault="00125750" w:rsidP="00EC5616">
            <w:pPr>
              <w:rPr>
                <w:rFonts w:ascii="Verdana" w:hAnsi="Verdana" w:cs="Verdana"/>
                <w:lang w:val="en-GB"/>
              </w:rPr>
            </w:pPr>
            <w:r w:rsidRPr="00805169">
              <w:rPr>
                <w:rFonts w:ascii="Verdana" w:hAnsi="Verdana" w:cs="Verdana"/>
                <w:lang w:val="en-GB"/>
              </w:rPr>
              <w:t>N</w:t>
            </w:r>
            <w:r w:rsidR="0039113A">
              <w:rPr>
                <w:rFonts w:ascii="Verdana" w:hAnsi="Verdana" w:cs="Verdana"/>
                <w:lang w:val="en-GB"/>
              </w:rPr>
              <w:t>o new housing needed in Oakley</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39113A" w:rsidP="00EC5616">
            <w:pPr>
              <w:rPr>
                <w:rFonts w:ascii="Verdana" w:hAnsi="Verdana" w:cs="Verdana"/>
                <w:lang w:val="en-GB"/>
              </w:rPr>
            </w:pPr>
            <w:r>
              <w:rPr>
                <w:rFonts w:ascii="Verdana" w:hAnsi="Verdana" w:cs="Verdana"/>
                <w:lang w:val="en-GB"/>
              </w:rPr>
              <w:t>32.4</w:t>
            </w:r>
          </w:p>
        </w:tc>
      </w:tr>
    </w:tbl>
    <w:p w:rsidR="00C645B8" w:rsidRPr="00805169" w:rsidRDefault="00C645B8" w:rsidP="00C645B8">
      <w:pPr>
        <w:rPr>
          <w:rFonts w:ascii="Verdana" w:hAnsi="Verdana" w:cs="Verdana"/>
          <w:lang w:val="en-GB"/>
        </w:rPr>
      </w:pPr>
    </w:p>
    <w:p w:rsidR="00C645B8" w:rsidRPr="00805169" w:rsidRDefault="00C645B8" w:rsidP="00C645B8">
      <w:pPr>
        <w:rPr>
          <w:rFonts w:ascii="Verdana" w:hAnsi="Verdana" w:cs="Verdana"/>
          <w:lang w:val="en-GB"/>
        </w:rPr>
      </w:pPr>
      <w:r w:rsidRPr="00805169">
        <w:rPr>
          <w:rFonts w:ascii="Verdana" w:hAnsi="Verdana" w:cs="Verdana"/>
          <w:lang w:val="en-GB"/>
        </w:rPr>
        <w:t>There was a clear preference for smaller (1-2 bedroom) houses and bungalows.</w:t>
      </w:r>
    </w:p>
    <w:p w:rsidR="00C645B8" w:rsidRPr="00805169" w:rsidRDefault="00C645B8" w:rsidP="00C645B8">
      <w:pPr>
        <w:rPr>
          <w:rFonts w:ascii="Verdana" w:hAnsi="Verdana" w:cs="Verdana"/>
          <w:lang w:val="en-GB"/>
        </w:rPr>
      </w:pPr>
    </w:p>
    <w:p w:rsidR="00C645B8" w:rsidRPr="00805169" w:rsidRDefault="00C645B8" w:rsidP="00C645B8">
      <w:pPr>
        <w:rPr>
          <w:rFonts w:ascii="Verdana" w:hAnsi="Verdana" w:cs="Verdana"/>
          <w:lang w:val="en-GB"/>
        </w:rPr>
      </w:pPr>
      <w:r w:rsidRPr="00805169">
        <w:rPr>
          <w:rFonts w:ascii="Verdana" w:hAnsi="Verdana" w:cs="Verdana"/>
          <w:lang w:val="en-GB"/>
        </w:rPr>
        <w:t>The % of respondents in favour of each type of tenure (Q2) was as follows: (respondents could tick more than one option)</w:t>
      </w:r>
    </w:p>
    <w:p w:rsidR="00C645B8" w:rsidRDefault="00C645B8" w:rsidP="00C645B8">
      <w:pPr>
        <w:rPr>
          <w:rFonts w:ascii="Verdana" w:hAnsi="Verdana" w:cs="Verdana"/>
          <w:sz w:val="22"/>
          <w:szCs w:val="22"/>
          <w:lang w:val="en-GB"/>
        </w:rPr>
      </w:pPr>
    </w:p>
    <w:tbl>
      <w:tblPr>
        <w:tblW w:w="10245" w:type="dxa"/>
        <w:tblLayout w:type="fixed"/>
        <w:tblCellMar>
          <w:left w:w="180" w:type="dxa"/>
          <w:right w:w="180" w:type="dxa"/>
        </w:tblCellMar>
        <w:tblLook w:val="04A0" w:firstRow="1" w:lastRow="0" w:firstColumn="1" w:lastColumn="0" w:noHBand="0" w:noVBand="1"/>
      </w:tblPr>
      <w:tblGrid>
        <w:gridCol w:w="7671"/>
        <w:gridCol w:w="2574"/>
      </w:tblGrid>
      <w:tr w:rsidR="00C645B8" w:rsidTr="00EC5616">
        <w:tc>
          <w:tcPr>
            <w:tcW w:w="7671" w:type="dxa"/>
            <w:tcBorders>
              <w:top w:val="single" w:sz="8" w:space="0" w:color="auto"/>
              <w:left w:val="single" w:sz="8" w:space="0" w:color="auto"/>
              <w:bottom w:val="single" w:sz="8" w:space="0" w:color="auto"/>
              <w:right w:val="nil"/>
            </w:tcBorders>
            <w:hideMark/>
          </w:tcPr>
          <w:p w:rsidR="00C645B8" w:rsidRPr="00805169" w:rsidRDefault="00C645B8" w:rsidP="00EC5616">
            <w:pPr>
              <w:rPr>
                <w:rFonts w:ascii="Verdana" w:hAnsi="Verdana" w:cs="Verdana"/>
                <w:lang w:val="en-GB"/>
              </w:rPr>
            </w:pPr>
            <w:r w:rsidRPr="00805169">
              <w:rPr>
                <w:rFonts w:ascii="Verdana" w:hAnsi="Verdana" w:cs="Verdana"/>
                <w:b/>
                <w:bCs/>
                <w:lang w:val="en-GB"/>
              </w:rPr>
              <w:t>Housing type</w:t>
            </w:r>
          </w:p>
        </w:tc>
        <w:tc>
          <w:tcPr>
            <w:tcW w:w="2574" w:type="dxa"/>
            <w:tcBorders>
              <w:top w:val="single" w:sz="8" w:space="0" w:color="auto"/>
              <w:left w:val="single" w:sz="8" w:space="0" w:color="auto"/>
              <w:bottom w:val="single" w:sz="8" w:space="0" w:color="auto"/>
              <w:right w:val="single" w:sz="8" w:space="0" w:color="auto"/>
            </w:tcBorders>
            <w:hideMark/>
          </w:tcPr>
          <w:p w:rsidR="00C645B8" w:rsidRPr="00805169" w:rsidRDefault="00C645B8" w:rsidP="00EC5616">
            <w:pPr>
              <w:rPr>
                <w:rFonts w:ascii="Verdana" w:hAnsi="Verdana" w:cs="Verdana"/>
                <w:lang w:val="en-GB"/>
              </w:rPr>
            </w:pPr>
            <w:r w:rsidRPr="00805169">
              <w:rPr>
                <w:rFonts w:ascii="Verdana" w:hAnsi="Verdana" w:cs="Verdana"/>
                <w:b/>
                <w:bCs/>
                <w:lang w:val="en-GB"/>
              </w:rPr>
              <w:t>% of respondents</w:t>
            </w:r>
          </w:p>
        </w:tc>
      </w:tr>
      <w:tr w:rsidR="00C645B8"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Purchase on the open market</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975CCF" w:rsidP="00EC5616">
            <w:pPr>
              <w:rPr>
                <w:rFonts w:ascii="Verdana" w:hAnsi="Verdana" w:cs="Verdana"/>
                <w:lang w:val="en-GB"/>
              </w:rPr>
            </w:pPr>
            <w:r>
              <w:rPr>
                <w:rFonts w:ascii="Verdana" w:hAnsi="Verdana" w:cs="Verdana"/>
                <w:lang w:val="en-GB"/>
              </w:rPr>
              <w:t>69.0</w:t>
            </w:r>
          </w:p>
        </w:tc>
      </w:tr>
      <w:tr w:rsidR="00C645B8"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Shared ownership (part owned, part rent)</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975CCF" w:rsidP="00EC5616">
            <w:pPr>
              <w:rPr>
                <w:rFonts w:ascii="Verdana" w:hAnsi="Verdana" w:cs="Verdana"/>
                <w:lang w:val="en-GB"/>
              </w:rPr>
            </w:pPr>
            <w:r>
              <w:rPr>
                <w:rFonts w:ascii="Verdana" w:hAnsi="Verdana" w:cs="Verdana"/>
                <w:lang w:val="en-GB"/>
              </w:rPr>
              <w:t>53.2</w:t>
            </w:r>
          </w:p>
        </w:tc>
      </w:tr>
      <w:tr w:rsidR="00125750" w:rsidTr="00EC5616">
        <w:tc>
          <w:tcPr>
            <w:tcW w:w="7671" w:type="dxa"/>
            <w:tcBorders>
              <w:top w:val="single" w:sz="8" w:space="0" w:color="auto"/>
              <w:left w:val="single" w:sz="8" w:space="0" w:color="auto"/>
              <w:bottom w:val="single" w:sz="8" w:space="0" w:color="auto"/>
              <w:right w:val="nil"/>
            </w:tcBorders>
          </w:tcPr>
          <w:p w:rsidR="00125750" w:rsidRPr="00805169" w:rsidRDefault="00125750" w:rsidP="00EC5616">
            <w:pPr>
              <w:rPr>
                <w:rFonts w:ascii="Verdana" w:hAnsi="Verdana" w:cs="Verdana"/>
                <w:lang w:val="en-GB"/>
              </w:rPr>
            </w:pPr>
            <w:r w:rsidRPr="00805169">
              <w:rPr>
                <w:rFonts w:ascii="Verdana" w:hAnsi="Verdana" w:cs="Verdana"/>
                <w:lang w:val="en-GB"/>
              </w:rPr>
              <w:t>Private rent / buy to let</w:t>
            </w:r>
          </w:p>
        </w:tc>
        <w:tc>
          <w:tcPr>
            <w:tcW w:w="2574" w:type="dxa"/>
            <w:tcBorders>
              <w:top w:val="single" w:sz="8" w:space="0" w:color="auto"/>
              <w:left w:val="single" w:sz="8" w:space="0" w:color="auto"/>
              <w:bottom w:val="single" w:sz="8" w:space="0" w:color="auto"/>
              <w:right w:val="single" w:sz="8" w:space="0" w:color="auto"/>
            </w:tcBorders>
          </w:tcPr>
          <w:p w:rsidR="00125750" w:rsidRPr="00805169" w:rsidRDefault="00975CCF" w:rsidP="00EC5616">
            <w:pPr>
              <w:rPr>
                <w:rFonts w:ascii="Verdana" w:hAnsi="Verdana" w:cs="Verdana"/>
                <w:lang w:val="en-GB"/>
              </w:rPr>
            </w:pPr>
            <w:r>
              <w:rPr>
                <w:rFonts w:ascii="Verdana" w:hAnsi="Verdana" w:cs="Verdana"/>
                <w:lang w:val="en-GB"/>
              </w:rPr>
              <w:t>8.5</w:t>
            </w:r>
          </w:p>
        </w:tc>
      </w:tr>
      <w:tr w:rsidR="00C645B8" w:rsidTr="00EC5616">
        <w:tc>
          <w:tcPr>
            <w:tcW w:w="7671" w:type="dxa"/>
            <w:tcBorders>
              <w:top w:val="single" w:sz="8" w:space="0" w:color="auto"/>
              <w:left w:val="single" w:sz="8" w:space="0" w:color="auto"/>
              <w:bottom w:val="single" w:sz="8" w:space="0" w:color="auto"/>
              <w:right w:val="nil"/>
            </w:tcBorders>
          </w:tcPr>
          <w:p w:rsidR="00C645B8" w:rsidRPr="00805169" w:rsidRDefault="00C645B8" w:rsidP="00EC5616">
            <w:pPr>
              <w:rPr>
                <w:rFonts w:ascii="Verdana" w:hAnsi="Verdana" w:cs="Verdana"/>
                <w:lang w:val="en-GB"/>
              </w:rPr>
            </w:pPr>
            <w:r w:rsidRPr="00805169">
              <w:rPr>
                <w:rFonts w:ascii="Verdana" w:hAnsi="Verdana" w:cs="Verdana"/>
                <w:lang w:val="en-GB"/>
              </w:rPr>
              <w:t>Affordable rent, with local people given priority</w:t>
            </w:r>
          </w:p>
        </w:tc>
        <w:tc>
          <w:tcPr>
            <w:tcW w:w="2574" w:type="dxa"/>
            <w:tcBorders>
              <w:top w:val="single" w:sz="8" w:space="0" w:color="auto"/>
              <w:left w:val="single" w:sz="8" w:space="0" w:color="auto"/>
              <w:bottom w:val="single" w:sz="8" w:space="0" w:color="auto"/>
              <w:right w:val="single" w:sz="8" w:space="0" w:color="auto"/>
            </w:tcBorders>
          </w:tcPr>
          <w:p w:rsidR="00C645B8" w:rsidRPr="00805169" w:rsidRDefault="00975CCF" w:rsidP="00EC5616">
            <w:pPr>
              <w:rPr>
                <w:rFonts w:ascii="Verdana" w:hAnsi="Verdana" w:cs="Verdana"/>
                <w:lang w:val="en-GB"/>
              </w:rPr>
            </w:pPr>
            <w:r>
              <w:rPr>
                <w:rFonts w:ascii="Verdana" w:hAnsi="Verdana" w:cs="Verdana"/>
                <w:lang w:val="en-GB"/>
              </w:rPr>
              <w:t>37.5</w:t>
            </w:r>
          </w:p>
        </w:tc>
      </w:tr>
    </w:tbl>
    <w:p w:rsidR="00C645B8" w:rsidRDefault="00C645B8" w:rsidP="00C645B8">
      <w:pPr>
        <w:rPr>
          <w:rFonts w:ascii="Verdana" w:hAnsi="Verdana" w:cs="Verdana"/>
          <w:sz w:val="22"/>
          <w:szCs w:val="22"/>
          <w:lang w:val="en-GB"/>
        </w:rPr>
      </w:pPr>
    </w:p>
    <w:p w:rsidR="00C645B8" w:rsidRPr="00805169" w:rsidRDefault="00DC73F0" w:rsidP="00C645B8">
      <w:pPr>
        <w:rPr>
          <w:rFonts w:ascii="Verdana" w:hAnsi="Verdana" w:cs="Verdana"/>
          <w:lang w:val="en-GB"/>
        </w:rPr>
      </w:pPr>
      <w:r w:rsidRPr="00DE3DA3">
        <w:rPr>
          <w:rFonts w:ascii="Verdana" w:hAnsi="Verdana" w:cs="Verdana"/>
          <w:lang w:val="en-GB"/>
        </w:rPr>
        <w:t>There</w:t>
      </w:r>
      <w:r>
        <w:rPr>
          <w:rFonts w:ascii="Verdana" w:hAnsi="Verdana" w:cs="Verdana"/>
          <w:lang w:val="en-GB"/>
        </w:rPr>
        <w:t xml:space="preserve"> were</w:t>
      </w:r>
      <w:r w:rsidR="00C645B8" w:rsidRPr="00805169">
        <w:rPr>
          <w:rFonts w:ascii="Verdana" w:hAnsi="Verdana" w:cs="Verdana"/>
          <w:lang w:val="en-GB"/>
        </w:rPr>
        <w:t xml:space="preserve"> a high proportion of people in favour for open market properties.</w:t>
      </w:r>
      <w:r w:rsidR="001B3A38" w:rsidRPr="00805169">
        <w:rPr>
          <w:rFonts w:ascii="Verdana" w:hAnsi="Verdana" w:cs="Verdana"/>
          <w:lang w:val="en-GB"/>
        </w:rPr>
        <w:t xml:space="preserve"> This was followed by a high level of support for shared ownership</w:t>
      </w:r>
      <w:r w:rsidR="00DE3DA3">
        <w:rPr>
          <w:rFonts w:ascii="Verdana" w:hAnsi="Verdana" w:cs="Verdana"/>
          <w:lang w:val="en-GB"/>
        </w:rPr>
        <w:t xml:space="preserve"> and affordable rent</w:t>
      </w:r>
      <w:r w:rsidR="001B3A38" w:rsidRPr="00805169">
        <w:rPr>
          <w:rFonts w:ascii="Verdana" w:hAnsi="Verdana" w:cs="Verdana"/>
          <w:lang w:val="en-GB"/>
        </w:rPr>
        <w:t xml:space="preserve">, with priority given for local people.  </w:t>
      </w:r>
    </w:p>
    <w:p w:rsidR="00A51E39" w:rsidRPr="00805169" w:rsidRDefault="00A51E39" w:rsidP="00C645B8">
      <w:pPr>
        <w:rPr>
          <w:rFonts w:ascii="Verdana" w:hAnsi="Verdana" w:cs="Verdana"/>
          <w:lang w:val="en-GB"/>
        </w:rPr>
      </w:pPr>
    </w:p>
    <w:p w:rsidR="00765A0B" w:rsidRPr="00805169" w:rsidRDefault="00A51E39" w:rsidP="00765A0B">
      <w:pPr>
        <w:rPr>
          <w:rFonts w:ascii="Verdana" w:hAnsi="Verdana" w:cs="Verdana"/>
          <w:lang w:val="en-GB"/>
        </w:rPr>
      </w:pPr>
      <w:r w:rsidRPr="00805169">
        <w:rPr>
          <w:rFonts w:ascii="Verdana" w:hAnsi="Verdana" w:cs="Verdana"/>
          <w:lang w:val="en-GB"/>
        </w:rPr>
        <w:t>The provision of a small development of affordable housing (up to 10 homes) based on identified local need</w:t>
      </w:r>
      <w:r w:rsidR="00765A0B" w:rsidRPr="00805169">
        <w:rPr>
          <w:rFonts w:ascii="Verdana" w:hAnsi="Verdana" w:cs="Verdana"/>
          <w:lang w:val="en-GB"/>
        </w:rPr>
        <w:t xml:space="preserve"> (Qu 3) was supported</w:t>
      </w:r>
      <w:r w:rsidR="00DE3DA3">
        <w:rPr>
          <w:rFonts w:ascii="Verdana" w:hAnsi="Verdana" w:cs="Verdana"/>
          <w:lang w:val="en-GB"/>
        </w:rPr>
        <w:t xml:space="preserve"> by 69.2% of respondents, with only 30</w:t>
      </w:r>
      <w:r w:rsidR="00765A0B" w:rsidRPr="00805169">
        <w:rPr>
          <w:rFonts w:ascii="Verdana" w:hAnsi="Verdana" w:cs="Verdana"/>
          <w:lang w:val="en-GB"/>
        </w:rPr>
        <w:t xml:space="preserve">.8% not supporting the idea.  </w:t>
      </w:r>
    </w:p>
    <w:p w:rsidR="00765A0B" w:rsidRDefault="00765A0B" w:rsidP="00765A0B">
      <w:pPr>
        <w:rPr>
          <w:rFonts w:ascii="Verdana" w:hAnsi="Verdana" w:cs="Verdana"/>
          <w:sz w:val="22"/>
          <w:szCs w:val="22"/>
          <w:lang w:val="en-GB"/>
        </w:rPr>
      </w:pPr>
    </w:p>
    <w:p w:rsidR="00765A0B" w:rsidRDefault="00765A0B" w:rsidP="00765A0B">
      <w:pPr>
        <w:rPr>
          <w:rFonts w:ascii="Verdana" w:hAnsi="Verdana" w:cs="Verdana"/>
          <w:sz w:val="22"/>
          <w:szCs w:val="22"/>
          <w:lang w:val="en-GB"/>
        </w:rPr>
      </w:pPr>
    </w:p>
    <w:p w:rsidR="00C645B8" w:rsidRDefault="00C645B8" w:rsidP="00DC73F0">
      <w:pPr>
        <w:ind w:left="720" w:hanging="720"/>
        <w:rPr>
          <w:rFonts w:ascii="Verdana" w:hAnsi="Verdana" w:cs="Verdana"/>
          <w:b/>
          <w:bCs/>
          <w:lang w:val="en-GB"/>
        </w:rPr>
      </w:pPr>
      <w:r>
        <w:rPr>
          <w:rFonts w:ascii="Verdana" w:hAnsi="Verdana" w:cs="Verdana"/>
          <w:b/>
          <w:bCs/>
          <w:lang w:val="en-GB"/>
        </w:rPr>
        <w:t>6.</w:t>
      </w:r>
      <w:r>
        <w:rPr>
          <w:rFonts w:ascii="Verdana" w:hAnsi="Verdana" w:cs="Verdana"/>
          <w:b/>
          <w:bCs/>
          <w:lang w:val="en-GB"/>
        </w:rPr>
        <w:tab/>
        <w:t>Analysis of housing needs – affordable rent and shared ownership</w:t>
      </w:r>
    </w:p>
    <w:p w:rsidR="00C645B8" w:rsidRDefault="00C645B8" w:rsidP="00C645B8">
      <w:pPr>
        <w:rPr>
          <w:rFonts w:ascii="Verdana" w:hAnsi="Verdana" w:cs="Verdana"/>
          <w:b/>
          <w:bCs/>
          <w:sz w:val="22"/>
          <w:szCs w:val="22"/>
          <w:lang w:val="en-GB"/>
        </w:rPr>
      </w:pPr>
    </w:p>
    <w:p w:rsidR="00C645B8" w:rsidRPr="00DC73F0" w:rsidRDefault="00453984" w:rsidP="00C645B8">
      <w:pPr>
        <w:rPr>
          <w:rFonts w:ascii="Verdana" w:hAnsi="Verdana" w:cs="Verdana"/>
          <w:lang w:val="en-GB"/>
        </w:rPr>
      </w:pPr>
      <w:r>
        <w:rPr>
          <w:rFonts w:ascii="Verdana" w:hAnsi="Verdana" w:cs="Verdana"/>
          <w:lang w:val="en-GB"/>
        </w:rPr>
        <w:t>91</w:t>
      </w:r>
      <w:r w:rsidR="00C645B8" w:rsidRPr="00DC73F0">
        <w:rPr>
          <w:rFonts w:ascii="Verdana" w:hAnsi="Verdana" w:cs="Verdana"/>
          <w:lang w:val="en-GB"/>
        </w:rPr>
        <w:t xml:space="preserve"> respondents indicated that they would be looking for new housing in the parish of </w:t>
      </w:r>
      <w:r w:rsidR="00C760F1">
        <w:rPr>
          <w:rFonts w:ascii="Verdana" w:hAnsi="Verdana" w:cs="Verdana"/>
          <w:lang w:val="en-GB"/>
        </w:rPr>
        <w:t>Oakley</w:t>
      </w:r>
      <w:r w:rsidR="00C645B8" w:rsidRPr="00DC73F0">
        <w:rPr>
          <w:rFonts w:ascii="Verdana" w:hAnsi="Verdana" w:cs="Verdana"/>
          <w:lang w:val="en-GB"/>
        </w:rPr>
        <w:t xml:space="preserve"> over the next </w:t>
      </w:r>
      <w:r w:rsidR="00C760F1">
        <w:rPr>
          <w:rFonts w:ascii="Verdana" w:hAnsi="Verdana" w:cs="Verdana"/>
          <w:lang w:val="en-GB"/>
        </w:rPr>
        <w:t>1</w:t>
      </w:r>
      <w:r w:rsidR="00E179C7" w:rsidRPr="00DC73F0">
        <w:rPr>
          <w:rFonts w:ascii="Verdana" w:hAnsi="Verdana" w:cs="Verdana"/>
          <w:lang w:val="en-GB"/>
        </w:rPr>
        <w:t>0</w:t>
      </w:r>
      <w:r w:rsidR="007C1B71">
        <w:rPr>
          <w:rFonts w:ascii="Verdana" w:hAnsi="Verdana" w:cs="Verdana"/>
          <w:lang w:val="en-GB"/>
        </w:rPr>
        <w:t xml:space="preserve"> </w:t>
      </w:r>
      <w:r w:rsidR="00C645B8" w:rsidRPr="00DC73F0">
        <w:rPr>
          <w:rFonts w:ascii="Verdana" w:hAnsi="Verdana" w:cs="Verdana"/>
          <w:lang w:val="en-GB"/>
        </w:rPr>
        <w:t xml:space="preserve">years.  These respondents are therefore regarded in principle as being in some form of housing need. </w:t>
      </w:r>
    </w:p>
    <w:p w:rsidR="00C645B8" w:rsidRPr="00DC73F0" w:rsidRDefault="00C645B8" w:rsidP="00C645B8">
      <w:pPr>
        <w:rPr>
          <w:rFonts w:ascii="Verdana" w:hAnsi="Verdana" w:cs="Verdana"/>
          <w:lang w:val="en-GB"/>
        </w:rPr>
      </w:pPr>
    </w:p>
    <w:p w:rsidR="00C645B8" w:rsidRPr="00DC73F0" w:rsidRDefault="00C645B8" w:rsidP="00C645B8">
      <w:pPr>
        <w:rPr>
          <w:rFonts w:ascii="Verdana" w:hAnsi="Verdana" w:cs="Verdana"/>
          <w:lang w:val="en-GB"/>
        </w:rPr>
      </w:pPr>
      <w:r w:rsidRPr="00DC73F0">
        <w:rPr>
          <w:rFonts w:ascii="Verdana" w:hAnsi="Verdana" w:cs="Verdana"/>
          <w:lang w:val="en-GB"/>
        </w:rPr>
        <w:t xml:space="preserve">Out of these, </w:t>
      </w:r>
      <w:r w:rsidR="005C4D2B">
        <w:rPr>
          <w:rFonts w:ascii="Verdana" w:hAnsi="Verdana" w:cs="Verdana"/>
          <w:lang w:val="en-GB"/>
        </w:rPr>
        <w:t>60</w:t>
      </w:r>
      <w:r w:rsidRPr="00DC73F0">
        <w:rPr>
          <w:rFonts w:ascii="Verdana" w:hAnsi="Verdana" w:cs="Verdana"/>
          <w:lang w:val="en-GB"/>
        </w:rPr>
        <w:t xml:space="preserve"> respondents were</w:t>
      </w:r>
      <w:r w:rsidR="005C4D2B">
        <w:rPr>
          <w:rFonts w:ascii="Verdana" w:hAnsi="Verdana" w:cs="Verdana"/>
          <w:lang w:val="en-GB"/>
        </w:rPr>
        <w:t xml:space="preserve"> either</w:t>
      </w:r>
      <w:r w:rsidRPr="00DC73F0">
        <w:rPr>
          <w:rFonts w:ascii="Verdana" w:hAnsi="Verdana" w:cs="Verdana"/>
          <w:lang w:val="en-GB"/>
        </w:rPr>
        <w:t xml:space="preserve"> existing owner occupiers</w:t>
      </w:r>
      <w:r w:rsidR="005C4D2B">
        <w:rPr>
          <w:rFonts w:ascii="Verdana" w:hAnsi="Verdana" w:cs="Verdana"/>
          <w:lang w:val="en-GB"/>
        </w:rPr>
        <w:t>, buyers who</w:t>
      </w:r>
      <w:r w:rsidRPr="00DC73F0">
        <w:rPr>
          <w:rFonts w:ascii="Verdana" w:hAnsi="Verdana" w:cs="Verdana"/>
          <w:lang w:val="en-GB"/>
        </w:rPr>
        <w:t xml:space="preserve"> were only looking to buy on the open market or</w:t>
      </w:r>
      <w:r w:rsidR="005C4D2B">
        <w:rPr>
          <w:rFonts w:ascii="Verdana" w:hAnsi="Verdana" w:cs="Verdana"/>
          <w:lang w:val="en-GB"/>
        </w:rPr>
        <w:t xml:space="preserve"> buyers whose</w:t>
      </w:r>
      <w:r w:rsidRPr="00DC73F0">
        <w:rPr>
          <w:rFonts w:ascii="Verdana" w:hAnsi="Verdana" w:cs="Verdana"/>
          <w:lang w:val="en-GB"/>
        </w:rPr>
        <w:t xml:space="preserve"> current savings/equity level </w:t>
      </w:r>
      <w:r w:rsidR="0021002F">
        <w:rPr>
          <w:rFonts w:ascii="Verdana" w:hAnsi="Verdana" w:cs="Verdana"/>
          <w:lang w:val="en-GB"/>
        </w:rPr>
        <w:t>was too high to be considered for</w:t>
      </w:r>
      <w:r w:rsidRPr="00DC73F0">
        <w:rPr>
          <w:rFonts w:ascii="Verdana" w:hAnsi="Verdana" w:cs="Verdana"/>
          <w:lang w:val="en-GB"/>
        </w:rPr>
        <w:t xml:space="preserve"> affordable housing. These respondents will be considered in Chapter 7.</w:t>
      </w:r>
    </w:p>
    <w:p w:rsidR="00C645B8" w:rsidRPr="00DC73F0" w:rsidRDefault="00C645B8" w:rsidP="00C645B8">
      <w:pPr>
        <w:rPr>
          <w:rFonts w:ascii="Verdana" w:hAnsi="Verdana" w:cs="Verdana"/>
          <w:b/>
          <w:bCs/>
          <w:lang w:val="en-GB"/>
        </w:rPr>
      </w:pPr>
    </w:p>
    <w:p w:rsidR="00C645B8" w:rsidRPr="00DC73F0" w:rsidRDefault="00711A59" w:rsidP="00C645B8">
      <w:pPr>
        <w:rPr>
          <w:rFonts w:ascii="Verdana" w:hAnsi="Verdana" w:cs="Verdana"/>
          <w:lang w:val="en-GB"/>
        </w:rPr>
      </w:pPr>
      <w:r>
        <w:rPr>
          <w:rFonts w:ascii="Verdana" w:hAnsi="Verdana" w:cs="Verdana"/>
          <w:lang w:val="en-GB"/>
        </w:rPr>
        <w:t>The other 31</w:t>
      </w:r>
      <w:r w:rsidR="00C645B8" w:rsidRPr="00DC73F0">
        <w:rPr>
          <w:rFonts w:ascii="Verdana" w:hAnsi="Verdana" w:cs="Verdana"/>
          <w:lang w:val="en-GB"/>
        </w:rPr>
        <w:t xml:space="preserve"> respondents were either considering rent or shared ownership or were not currently owner occupiers; within</w:t>
      </w:r>
      <w:r>
        <w:rPr>
          <w:rFonts w:ascii="Verdana" w:hAnsi="Verdana" w:cs="Verdana"/>
          <w:lang w:val="en-GB"/>
        </w:rPr>
        <w:t xml:space="preserve"> this 31</w:t>
      </w:r>
      <w:r w:rsidR="00C645B8" w:rsidRPr="00DC73F0">
        <w:rPr>
          <w:rFonts w:ascii="Verdana" w:hAnsi="Verdana" w:cs="Verdana"/>
          <w:lang w:val="en-GB"/>
        </w:rPr>
        <w:t xml:space="preserve">, </w:t>
      </w:r>
      <w:r>
        <w:rPr>
          <w:rFonts w:ascii="Verdana" w:hAnsi="Verdana" w:cs="Verdana"/>
          <w:lang w:val="en-GB"/>
        </w:rPr>
        <w:t>6</w:t>
      </w:r>
      <w:r w:rsidR="00C645B8" w:rsidRPr="00DC73F0">
        <w:rPr>
          <w:rFonts w:ascii="Verdana" w:hAnsi="Verdana" w:cs="Verdana"/>
          <w:lang w:val="en-GB"/>
        </w:rPr>
        <w:t xml:space="preserve"> respondents who are current owner occupiers have been included as they have stated that they are currently at risk of losing their home</w:t>
      </w:r>
      <w:r>
        <w:rPr>
          <w:rFonts w:ascii="Verdana" w:hAnsi="Verdana" w:cs="Verdana"/>
          <w:lang w:val="en-GB"/>
        </w:rPr>
        <w:t xml:space="preserve"> </w:t>
      </w:r>
      <w:r w:rsidR="007820ED">
        <w:rPr>
          <w:rFonts w:ascii="Verdana" w:hAnsi="Verdana" w:cs="Verdana"/>
          <w:lang w:val="en-GB"/>
        </w:rPr>
        <w:t>and/</w:t>
      </w:r>
      <w:r>
        <w:rPr>
          <w:rFonts w:ascii="Verdana" w:hAnsi="Verdana" w:cs="Verdana"/>
          <w:lang w:val="en-GB"/>
        </w:rPr>
        <w:t>or have low levels of income and savings / equity</w:t>
      </w:r>
      <w:r w:rsidR="00C645B8" w:rsidRPr="00DC73F0">
        <w:rPr>
          <w:rFonts w:ascii="Verdana" w:hAnsi="Verdana" w:cs="Verdana"/>
          <w:lang w:val="en-GB"/>
        </w:rPr>
        <w:t xml:space="preserve">. The </w:t>
      </w:r>
      <w:r>
        <w:rPr>
          <w:rFonts w:ascii="Verdana" w:hAnsi="Verdana" w:cs="Verdana"/>
          <w:lang w:val="en-GB"/>
        </w:rPr>
        <w:t>31</w:t>
      </w:r>
      <w:r w:rsidR="00C645B8" w:rsidRPr="00DC73F0">
        <w:rPr>
          <w:rFonts w:ascii="Verdana" w:hAnsi="Verdana" w:cs="Verdana"/>
          <w:lang w:val="en-GB"/>
        </w:rPr>
        <w:t xml:space="preserve"> respondents will be considered in this chapter.</w:t>
      </w:r>
    </w:p>
    <w:p w:rsidR="00C645B8" w:rsidRDefault="00C645B8" w:rsidP="00C645B8">
      <w:pPr>
        <w:rPr>
          <w:rFonts w:ascii="Verdana" w:hAnsi="Verdana" w:cs="Verdana"/>
          <w:b/>
          <w:bCs/>
          <w:sz w:val="22"/>
          <w:szCs w:val="22"/>
          <w:lang w:val="en-GB"/>
        </w:rPr>
      </w:pPr>
    </w:p>
    <w:p w:rsidR="004674B3" w:rsidRDefault="004674B3" w:rsidP="00C645B8">
      <w:pPr>
        <w:rPr>
          <w:rFonts w:ascii="Verdana" w:hAnsi="Verdana" w:cs="Verdana"/>
          <w:b/>
          <w:bCs/>
          <w:lang w:val="en-GB"/>
        </w:rPr>
      </w:pPr>
      <w:r>
        <w:rPr>
          <w:rFonts w:ascii="Verdana" w:hAnsi="Verdana" w:cs="Verdana"/>
          <w:b/>
          <w:bCs/>
          <w:lang w:val="en-GB"/>
        </w:rPr>
        <w:t>6.1 Timescale of housing need</w:t>
      </w:r>
    </w:p>
    <w:p w:rsidR="004674B3" w:rsidRPr="004674B3" w:rsidRDefault="004674B3" w:rsidP="00C645B8">
      <w:pPr>
        <w:rPr>
          <w:rFonts w:ascii="Verdana" w:hAnsi="Verdana" w:cs="Verdana"/>
          <w:lang w:val="en-GB"/>
        </w:rPr>
      </w:pPr>
    </w:p>
    <w:p w:rsidR="004674B3" w:rsidRDefault="004674B3" w:rsidP="00C645B8">
      <w:pPr>
        <w:rPr>
          <w:rFonts w:ascii="Verdana" w:hAnsi="Verdana" w:cs="Verdana"/>
          <w:lang w:val="en-GB"/>
        </w:rPr>
      </w:pPr>
      <w:r w:rsidRPr="004674B3">
        <w:rPr>
          <w:rFonts w:ascii="Verdana" w:hAnsi="Verdana" w:cs="Verdana"/>
          <w:lang w:val="en-GB"/>
        </w:rPr>
        <w:t>The timescale</w:t>
      </w:r>
      <w:r>
        <w:rPr>
          <w:rFonts w:ascii="Verdana" w:hAnsi="Verdana" w:cs="Verdana"/>
          <w:lang w:val="en-GB"/>
        </w:rPr>
        <w:t xml:space="preserve"> in which the 31 respondents would be looking for different accommodation (Q5) was as follows;</w:t>
      </w:r>
    </w:p>
    <w:p w:rsidR="004674B3" w:rsidRDefault="004674B3" w:rsidP="00C645B8">
      <w:pPr>
        <w:rPr>
          <w:rFonts w:ascii="Verdana" w:hAnsi="Verdana" w:cs="Verdana"/>
          <w:lang w:val="en-GB"/>
        </w:rPr>
      </w:pPr>
    </w:p>
    <w:tbl>
      <w:tblPr>
        <w:tblW w:w="10007" w:type="dxa"/>
        <w:tblLayout w:type="fixed"/>
        <w:tblCellMar>
          <w:left w:w="180" w:type="dxa"/>
          <w:right w:w="180" w:type="dxa"/>
        </w:tblCellMar>
        <w:tblLook w:val="0000" w:firstRow="0" w:lastRow="0" w:firstColumn="0" w:lastColumn="0" w:noHBand="0" w:noVBand="0"/>
      </w:tblPr>
      <w:tblGrid>
        <w:gridCol w:w="6947"/>
        <w:gridCol w:w="3060"/>
      </w:tblGrid>
      <w:tr w:rsidR="004674B3" w:rsidRPr="0021002F" w:rsidTr="008631F6">
        <w:tc>
          <w:tcPr>
            <w:tcW w:w="6947" w:type="dxa"/>
            <w:tcBorders>
              <w:top w:val="single" w:sz="8" w:space="0" w:color="auto"/>
              <w:left w:val="single" w:sz="8" w:space="0" w:color="auto"/>
              <w:bottom w:val="nil"/>
              <w:right w:val="nil"/>
            </w:tcBorders>
          </w:tcPr>
          <w:p w:rsidR="004674B3" w:rsidRPr="0021002F" w:rsidRDefault="004674B3" w:rsidP="008631F6">
            <w:pPr>
              <w:rPr>
                <w:rFonts w:ascii="Verdana" w:hAnsi="Verdana" w:cs="Verdana"/>
                <w:lang w:val="en-GB"/>
              </w:rPr>
            </w:pPr>
            <w:r>
              <w:rPr>
                <w:rFonts w:ascii="Verdana" w:hAnsi="Verdana" w:cs="Verdana"/>
                <w:b/>
                <w:bCs/>
                <w:lang w:val="en-GB"/>
              </w:rPr>
              <w:t>Timescale</w:t>
            </w:r>
          </w:p>
        </w:tc>
        <w:tc>
          <w:tcPr>
            <w:tcW w:w="3060" w:type="dxa"/>
            <w:tcBorders>
              <w:top w:val="single" w:sz="8" w:space="0" w:color="auto"/>
              <w:left w:val="single" w:sz="8" w:space="0" w:color="auto"/>
              <w:bottom w:val="nil"/>
              <w:right w:val="single" w:sz="8" w:space="0" w:color="auto"/>
            </w:tcBorders>
          </w:tcPr>
          <w:p w:rsidR="004674B3" w:rsidRPr="0021002F" w:rsidRDefault="004674B3" w:rsidP="008631F6">
            <w:pPr>
              <w:rPr>
                <w:rFonts w:ascii="Verdana" w:hAnsi="Verdana" w:cs="Verdana"/>
                <w:lang w:val="en-GB"/>
              </w:rPr>
            </w:pPr>
            <w:r w:rsidRPr="0021002F">
              <w:rPr>
                <w:rFonts w:ascii="Verdana" w:hAnsi="Verdana" w:cs="Verdana"/>
                <w:b/>
                <w:bCs/>
                <w:lang w:val="en-GB"/>
              </w:rPr>
              <w:t>No. of households</w:t>
            </w:r>
          </w:p>
        </w:tc>
      </w:tr>
      <w:tr w:rsidR="004674B3" w:rsidRPr="0021002F" w:rsidTr="008631F6">
        <w:tc>
          <w:tcPr>
            <w:tcW w:w="6947" w:type="dxa"/>
            <w:tcBorders>
              <w:top w:val="single" w:sz="8" w:space="0" w:color="auto"/>
              <w:left w:val="single" w:sz="8" w:space="0" w:color="auto"/>
              <w:bottom w:val="nil"/>
              <w:right w:val="nil"/>
            </w:tcBorders>
          </w:tcPr>
          <w:p w:rsidR="004674B3" w:rsidRPr="0021002F" w:rsidRDefault="004674B3" w:rsidP="008631F6">
            <w:pPr>
              <w:rPr>
                <w:rFonts w:ascii="Verdana" w:hAnsi="Verdana" w:cs="Verdana"/>
                <w:lang w:val="en-GB"/>
              </w:rPr>
            </w:pPr>
            <w:r>
              <w:rPr>
                <w:rFonts w:ascii="Verdana" w:hAnsi="Verdana" w:cs="Verdana"/>
                <w:lang w:val="en-GB"/>
              </w:rPr>
              <w:t>Within 0-3 years</w:t>
            </w:r>
          </w:p>
        </w:tc>
        <w:tc>
          <w:tcPr>
            <w:tcW w:w="3060" w:type="dxa"/>
            <w:tcBorders>
              <w:top w:val="single" w:sz="8" w:space="0" w:color="auto"/>
              <w:left w:val="single" w:sz="8" w:space="0" w:color="auto"/>
              <w:bottom w:val="nil"/>
              <w:right w:val="single" w:sz="8" w:space="0" w:color="auto"/>
            </w:tcBorders>
          </w:tcPr>
          <w:p w:rsidR="004674B3" w:rsidRPr="0021002F" w:rsidRDefault="00B1654F" w:rsidP="008631F6">
            <w:pPr>
              <w:rPr>
                <w:rFonts w:ascii="Verdana" w:hAnsi="Verdana" w:cs="Verdana"/>
                <w:lang w:val="en-GB"/>
              </w:rPr>
            </w:pPr>
            <w:r>
              <w:rPr>
                <w:rFonts w:ascii="Verdana" w:hAnsi="Verdana" w:cs="Verdana"/>
                <w:lang w:val="en-GB"/>
              </w:rPr>
              <w:t>19</w:t>
            </w:r>
          </w:p>
        </w:tc>
      </w:tr>
      <w:tr w:rsidR="004674B3" w:rsidRPr="0021002F" w:rsidTr="004674B3">
        <w:tc>
          <w:tcPr>
            <w:tcW w:w="6947" w:type="dxa"/>
            <w:tcBorders>
              <w:top w:val="single" w:sz="8" w:space="0" w:color="auto"/>
              <w:left w:val="single" w:sz="8" w:space="0" w:color="auto"/>
              <w:bottom w:val="single" w:sz="8" w:space="0" w:color="auto"/>
              <w:right w:val="nil"/>
            </w:tcBorders>
          </w:tcPr>
          <w:p w:rsidR="004674B3" w:rsidRPr="0021002F" w:rsidRDefault="004674B3" w:rsidP="008631F6">
            <w:pPr>
              <w:rPr>
                <w:rFonts w:ascii="Verdana" w:hAnsi="Verdana" w:cs="Verdana"/>
                <w:lang w:val="en-GB"/>
              </w:rPr>
            </w:pPr>
            <w:r>
              <w:rPr>
                <w:rFonts w:ascii="Verdana" w:hAnsi="Verdana" w:cs="Verdana"/>
                <w:lang w:val="en-GB"/>
              </w:rPr>
              <w:t>Within 3-5 years</w:t>
            </w:r>
          </w:p>
        </w:tc>
        <w:tc>
          <w:tcPr>
            <w:tcW w:w="3060" w:type="dxa"/>
            <w:tcBorders>
              <w:top w:val="single" w:sz="8" w:space="0" w:color="auto"/>
              <w:left w:val="single" w:sz="8" w:space="0" w:color="auto"/>
              <w:bottom w:val="single" w:sz="8" w:space="0" w:color="auto"/>
              <w:right w:val="single" w:sz="8" w:space="0" w:color="auto"/>
            </w:tcBorders>
          </w:tcPr>
          <w:p w:rsidR="004674B3" w:rsidRPr="0021002F" w:rsidRDefault="00B1654F" w:rsidP="008631F6">
            <w:pPr>
              <w:rPr>
                <w:rFonts w:ascii="Verdana" w:hAnsi="Verdana" w:cs="Verdana"/>
                <w:lang w:val="en-GB"/>
              </w:rPr>
            </w:pPr>
            <w:r>
              <w:rPr>
                <w:rFonts w:ascii="Verdana" w:hAnsi="Verdana" w:cs="Verdana"/>
                <w:lang w:val="en-GB"/>
              </w:rPr>
              <w:t>8</w:t>
            </w:r>
          </w:p>
        </w:tc>
      </w:tr>
      <w:tr w:rsidR="004674B3" w:rsidRPr="0021002F" w:rsidTr="004674B3">
        <w:tc>
          <w:tcPr>
            <w:tcW w:w="6947" w:type="dxa"/>
            <w:tcBorders>
              <w:top w:val="single" w:sz="8" w:space="0" w:color="auto"/>
              <w:left w:val="single" w:sz="8" w:space="0" w:color="auto"/>
              <w:bottom w:val="single" w:sz="4" w:space="0" w:color="auto"/>
              <w:right w:val="nil"/>
            </w:tcBorders>
          </w:tcPr>
          <w:p w:rsidR="004674B3" w:rsidRPr="0021002F" w:rsidRDefault="004674B3" w:rsidP="008631F6">
            <w:pPr>
              <w:rPr>
                <w:rFonts w:ascii="Verdana" w:hAnsi="Verdana" w:cs="Verdana"/>
                <w:lang w:val="en-GB"/>
              </w:rPr>
            </w:pPr>
            <w:r>
              <w:rPr>
                <w:rFonts w:ascii="Verdana" w:hAnsi="Verdana" w:cs="Verdana"/>
                <w:lang w:val="en-GB"/>
              </w:rPr>
              <w:t>Within 5-10 years</w:t>
            </w:r>
          </w:p>
        </w:tc>
        <w:tc>
          <w:tcPr>
            <w:tcW w:w="3060" w:type="dxa"/>
            <w:tcBorders>
              <w:top w:val="single" w:sz="8" w:space="0" w:color="auto"/>
              <w:left w:val="single" w:sz="8" w:space="0" w:color="auto"/>
              <w:bottom w:val="single" w:sz="4" w:space="0" w:color="auto"/>
              <w:right w:val="single" w:sz="8" w:space="0" w:color="auto"/>
            </w:tcBorders>
          </w:tcPr>
          <w:p w:rsidR="004674B3" w:rsidRPr="0021002F" w:rsidRDefault="00B1654F" w:rsidP="008631F6">
            <w:pPr>
              <w:rPr>
                <w:rFonts w:ascii="Verdana" w:hAnsi="Verdana" w:cs="Verdana"/>
                <w:lang w:val="en-GB"/>
              </w:rPr>
            </w:pPr>
            <w:r>
              <w:rPr>
                <w:rFonts w:ascii="Verdana" w:hAnsi="Verdana" w:cs="Verdana"/>
                <w:lang w:val="en-GB"/>
              </w:rPr>
              <w:t>4</w:t>
            </w:r>
          </w:p>
        </w:tc>
      </w:tr>
    </w:tbl>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4674B3" w:rsidRDefault="004674B3" w:rsidP="00C645B8">
      <w:pPr>
        <w:rPr>
          <w:rFonts w:ascii="Verdana" w:hAnsi="Verdana" w:cs="Verdana"/>
          <w:b/>
          <w:bCs/>
          <w:lang w:val="en-GB"/>
        </w:rPr>
      </w:pPr>
    </w:p>
    <w:p w:rsidR="00C645B8" w:rsidRDefault="004674B3" w:rsidP="00C645B8">
      <w:pPr>
        <w:rPr>
          <w:rFonts w:ascii="Verdana" w:hAnsi="Verdana" w:cs="Verdana"/>
          <w:b/>
          <w:bCs/>
          <w:lang w:val="en-GB"/>
        </w:rPr>
      </w:pPr>
      <w:r>
        <w:rPr>
          <w:rFonts w:ascii="Verdana" w:hAnsi="Verdana" w:cs="Verdana"/>
          <w:b/>
          <w:bCs/>
          <w:lang w:val="en-GB"/>
        </w:rPr>
        <w:lastRenderedPageBreak/>
        <w:t>6</w:t>
      </w:r>
      <w:r w:rsidR="00C645B8" w:rsidRPr="0021002F">
        <w:rPr>
          <w:rFonts w:ascii="Verdana" w:hAnsi="Verdana" w:cs="Verdana"/>
          <w:b/>
          <w:bCs/>
          <w:lang w:val="en-GB"/>
        </w:rPr>
        <w:t>.</w:t>
      </w:r>
      <w:r w:rsidR="00B1654F">
        <w:rPr>
          <w:rFonts w:ascii="Verdana" w:hAnsi="Verdana" w:cs="Verdana"/>
          <w:b/>
          <w:bCs/>
          <w:lang w:val="en-GB"/>
        </w:rPr>
        <w:t>2</w:t>
      </w:r>
      <w:r w:rsidR="00C645B8" w:rsidRPr="0021002F">
        <w:rPr>
          <w:rFonts w:ascii="Verdana" w:hAnsi="Verdana" w:cs="Verdana"/>
          <w:b/>
          <w:bCs/>
          <w:lang w:val="en-GB"/>
        </w:rPr>
        <w:tab/>
        <w:t>Nature of local connection</w:t>
      </w:r>
    </w:p>
    <w:p w:rsidR="00C645B8" w:rsidRPr="0021002F" w:rsidRDefault="00C645B8" w:rsidP="00C645B8">
      <w:pPr>
        <w:rPr>
          <w:rFonts w:ascii="Verdana" w:hAnsi="Verdana" w:cs="Verdana"/>
          <w:lang w:val="en-GB"/>
        </w:rPr>
      </w:pPr>
    </w:p>
    <w:p w:rsidR="00C645B8" w:rsidRPr="0021002F" w:rsidRDefault="00C645B8" w:rsidP="00C645B8">
      <w:pPr>
        <w:rPr>
          <w:rFonts w:ascii="Verdana" w:hAnsi="Verdana" w:cs="Verdana"/>
          <w:lang w:val="en-GB"/>
        </w:rPr>
      </w:pPr>
      <w:r w:rsidRPr="0021002F">
        <w:rPr>
          <w:rFonts w:ascii="Verdana" w:hAnsi="Verdana" w:cs="Verdana"/>
          <w:lang w:val="en-GB"/>
        </w:rPr>
        <w:t xml:space="preserve">Local needs affordable housing would usually be made available in the first instance to people with a </w:t>
      </w:r>
      <w:r w:rsidR="00047B5D">
        <w:rPr>
          <w:rFonts w:ascii="Verdana" w:hAnsi="Verdana" w:cs="Verdana"/>
          <w:lang w:val="en-GB"/>
        </w:rPr>
        <w:t>strong local connection.  All 31</w:t>
      </w:r>
      <w:r w:rsidRPr="0021002F">
        <w:rPr>
          <w:rFonts w:ascii="Verdana" w:hAnsi="Verdana" w:cs="Verdana"/>
          <w:lang w:val="en-GB"/>
        </w:rPr>
        <w:t xml:space="preserve"> respondents identifi</w:t>
      </w:r>
      <w:r w:rsidR="00581E51" w:rsidRPr="0021002F">
        <w:rPr>
          <w:rFonts w:ascii="Verdana" w:hAnsi="Verdana" w:cs="Verdana"/>
          <w:lang w:val="en-GB"/>
        </w:rPr>
        <w:t>ed a strong local connection (Q6</w:t>
      </w:r>
      <w:r w:rsidRPr="0021002F">
        <w:rPr>
          <w:rFonts w:ascii="Verdana" w:hAnsi="Verdana" w:cs="Verdana"/>
          <w:lang w:val="en-GB"/>
        </w:rPr>
        <w:t>) as follows (respondents could tick more than one):</w:t>
      </w:r>
    </w:p>
    <w:p w:rsidR="00C645B8" w:rsidRPr="0021002F" w:rsidRDefault="00C645B8" w:rsidP="00C645B8">
      <w:pPr>
        <w:rPr>
          <w:rFonts w:ascii="Verdana" w:hAnsi="Verdana" w:cs="Verdana"/>
          <w:lang w:val="en-GB"/>
        </w:rPr>
      </w:pPr>
    </w:p>
    <w:tbl>
      <w:tblPr>
        <w:tblW w:w="10007" w:type="dxa"/>
        <w:tblLayout w:type="fixed"/>
        <w:tblCellMar>
          <w:left w:w="180" w:type="dxa"/>
          <w:right w:w="180" w:type="dxa"/>
        </w:tblCellMar>
        <w:tblLook w:val="0000" w:firstRow="0" w:lastRow="0" w:firstColumn="0" w:lastColumn="0" w:noHBand="0" w:noVBand="0"/>
      </w:tblPr>
      <w:tblGrid>
        <w:gridCol w:w="6947"/>
        <w:gridCol w:w="3060"/>
      </w:tblGrid>
      <w:tr w:rsidR="00C645B8" w:rsidRPr="0021002F" w:rsidTr="00EC5616">
        <w:tc>
          <w:tcPr>
            <w:tcW w:w="6947" w:type="dxa"/>
            <w:tcBorders>
              <w:top w:val="single" w:sz="8" w:space="0" w:color="auto"/>
              <w:left w:val="single" w:sz="8" w:space="0" w:color="auto"/>
              <w:bottom w:val="nil"/>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Nature of local connection</w:t>
            </w:r>
          </w:p>
        </w:tc>
        <w:tc>
          <w:tcPr>
            <w:tcW w:w="3060" w:type="dxa"/>
            <w:tcBorders>
              <w:top w:val="single" w:sz="8" w:space="0" w:color="auto"/>
              <w:left w:val="single" w:sz="8" w:space="0" w:color="auto"/>
              <w:bottom w:val="nil"/>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947" w:type="dxa"/>
            <w:tcBorders>
              <w:top w:val="single" w:sz="8" w:space="0" w:color="auto"/>
              <w:left w:val="single" w:sz="8" w:space="0" w:color="auto"/>
              <w:bottom w:val="nil"/>
              <w:right w:val="nil"/>
            </w:tcBorders>
          </w:tcPr>
          <w:p w:rsidR="00C645B8" w:rsidRPr="0021002F" w:rsidRDefault="00C645B8" w:rsidP="00EC5616">
            <w:pPr>
              <w:rPr>
                <w:rFonts w:ascii="Verdana" w:hAnsi="Verdana" w:cs="Verdana"/>
                <w:lang w:val="en-GB"/>
              </w:rPr>
            </w:pPr>
            <w:r w:rsidRPr="0021002F">
              <w:rPr>
                <w:rFonts w:ascii="Verdana" w:hAnsi="Verdana" w:cs="Verdana"/>
              </w:rPr>
              <w:t xml:space="preserve">Currently living in </w:t>
            </w:r>
            <w:r w:rsidR="00047B5D">
              <w:rPr>
                <w:rFonts w:ascii="Verdana" w:hAnsi="Verdana" w:cs="Verdana"/>
              </w:rPr>
              <w:t>Oakley</w:t>
            </w:r>
          </w:p>
        </w:tc>
        <w:tc>
          <w:tcPr>
            <w:tcW w:w="3060" w:type="dxa"/>
            <w:tcBorders>
              <w:top w:val="single" w:sz="8" w:space="0" w:color="auto"/>
              <w:left w:val="single" w:sz="8" w:space="0" w:color="auto"/>
              <w:bottom w:val="nil"/>
              <w:right w:val="single" w:sz="8" w:space="0" w:color="auto"/>
            </w:tcBorders>
          </w:tcPr>
          <w:p w:rsidR="00C645B8" w:rsidRPr="0021002F" w:rsidRDefault="00047B5D" w:rsidP="00EC5616">
            <w:pPr>
              <w:rPr>
                <w:rFonts w:ascii="Verdana" w:hAnsi="Verdana" w:cs="Verdana"/>
                <w:lang w:val="en-GB"/>
              </w:rPr>
            </w:pPr>
            <w:r>
              <w:rPr>
                <w:rFonts w:ascii="Verdana" w:hAnsi="Verdana" w:cs="Verdana"/>
                <w:lang w:val="en-GB"/>
              </w:rPr>
              <w:t>27</w:t>
            </w:r>
          </w:p>
        </w:tc>
      </w:tr>
      <w:tr w:rsidR="00C645B8" w:rsidRPr="0021002F" w:rsidTr="00EC5616">
        <w:tc>
          <w:tcPr>
            <w:tcW w:w="6947" w:type="dxa"/>
            <w:tcBorders>
              <w:top w:val="single" w:sz="8" w:space="0" w:color="auto"/>
              <w:left w:val="single" w:sz="8" w:space="0" w:color="auto"/>
              <w:bottom w:val="nil"/>
              <w:right w:val="nil"/>
            </w:tcBorders>
          </w:tcPr>
          <w:p w:rsidR="00C645B8" w:rsidRPr="0021002F" w:rsidRDefault="00C645B8" w:rsidP="00EC5616">
            <w:pPr>
              <w:rPr>
                <w:rFonts w:ascii="Verdana" w:hAnsi="Verdana" w:cs="Verdana"/>
                <w:lang w:val="en-GB"/>
              </w:rPr>
            </w:pPr>
            <w:r w:rsidRPr="0021002F">
              <w:rPr>
                <w:rFonts w:ascii="Verdana" w:hAnsi="Verdana" w:cs="Verdana"/>
              </w:rPr>
              <w:t xml:space="preserve">Previously lived in </w:t>
            </w:r>
            <w:r w:rsidR="00047B5D">
              <w:rPr>
                <w:rFonts w:ascii="Verdana" w:hAnsi="Verdana" w:cs="Verdana"/>
              </w:rPr>
              <w:t>Oakley</w:t>
            </w:r>
          </w:p>
        </w:tc>
        <w:tc>
          <w:tcPr>
            <w:tcW w:w="3060" w:type="dxa"/>
            <w:tcBorders>
              <w:top w:val="single" w:sz="8" w:space="0" w:color="auto"/>
              <w:left w:val="single" w:sz="8" w:space="0" w:color="auto"/>
              <w:bottom w:val="nil"/>
              <w:right w:val="single" w:sz="8" w:space="0" w:color="auto"/>
            </w:tcBorders>
          </w:tcPr>
          <w:p w:rsidR="00C645B8" w:rsidRPr="0021002F" w:rsidRDefault="00047B5D" w:rsidP="00EC5616">
            <w:pPr>
              <w:rPr>
                <w:rFonts w:ascii="Verdana" w:hAnsi="Verdana" w:cs="Verdana"/>
                <w:lang w:val="en-GB"/>
              </w:rPr>
            </w:pPr>
            <w:r>
              <w:rPr>
                <w:rFonts w:ascii="Verdana" w:hAnsi="Verdana" w:cs="Verdana"/>
                <w:lang w:val="en-GB"/>
              </w:rPr>
              <w:t>2</w:t>
            </w:r>
          </w:p>
        </w:tc>
      </w:tr>
      <w:tr w:rsidR="00C645B8" w:rsidRPr="0021002F" w:rsidTr="00EC5616">
        <w:tc>
          <w:tcPr>
            <w:tcW w:w="6947" w:type="dxa"/>
            <w:tcBorders>
              <w:top w:val="single" w:sz="8" w:space="0" w:color="auto"/>
              <w:left w:val="single" w:sz="8" w:space="0" w:color="auto"/>
              <w:bottom w:val="nil"/>
              <w:right w:val="nil"/>
            </w:tcBorders>
          </w:tcPr>
          <w:p w:rsidR="00C645B8" w:rsidRPr="0021002F" w:rsidRDefault="00C645B8" w:rsidP="00EC5616">
            <w:pPr>
              <w:rPr>
                <w:rFonts w:ascii="Verdana" w:hAnsi="Verdana" w:cs="Verdana"/>
                <w:lang w:val="en-GB"/>
              </w:rPr>
            </w:pPr>
            <w:r w:rsidRPr="0021002F">
              <w:rPr>
                <w:rFonts w:ascii="Verdana" w:hAnsi="Verdana" w:cs="Verdana"/>
              </w:rPr>
              <w:t xml:space="preserve">An immediate family member (parent, child, or sibling) lives in </w:t>
            </w:r>
            <w:r w:rsidR="00047B5D">
              <w:rPr>
                <w:rFonts w:ascii="Verdana" w:hAnsi="Verdana" w:cs="Verdana"/>
              </w:rPr>
              <w:t>Oakley</w:t>
            </w:r>
          </w:p>
        </w:tc>
        <w:tc>
          <w:tcPr>
            <w:tcW w:w="3060" w:type="dxa"/>
            <w:tcBorders>
              <w:top w:val="single" w:sz="8" w:space="0" w:color="auto"/>
              <w:left w:val="single" w:sz="8" w:space="0" w:color="auto"/>
              <w:bottom w:val="nil"/>
              <w:right w:val="single" w:sz="8" w:space="0" w:color="auto"/>
            </w:tcBorders>
          </w:tcPr>
          <w:p w:rsidR="00C645B8" w:rsidRPr="0021002F" w:rsidRDefault="00047B5D" w:rsidP="00EC5616">
            <w:pPr>
              <w:rPr>
                <w:rFonts w:ascii="Verdana" w:hAnsi="Verdana" w:cs="Verdana"/>
                <w:lang w:val="en-GB"/>
              </w:rPr>
            </w:pPr>
            <w:r>
              <w:rPr>
                <w:rFonts w:ascii="Verdana" w:hAnsi="Verdana" w:cs="Verdana"/>
                <w:lang w:val="en-GB"/>
              </w:rPr>
              <w:t>11</w:t>
            </w:r>
          </w:p>
        </w:tc>
      </w:tr>
      <w:tr w:rsidR="00C645B8" w:rsidRPr="0021002F" w:rsidTr="00EC5616">
        <w:tc>
          <w:tcPr>
            <w:tcW w:w="6947"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rPr>
              <w:t>Have</w:t>
            </w:r>
            <w:r w:rsidR="00047B5D">
              <w:rPr>
                <w:rFonts w:ascii="Verdana" w:hAnsi="Verdana" w:cs="Verdana"/>
              </w:rPr>
              <w:t xml:space="preserve"> permanent employment in Oakley</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047B5D" w:rsidP="00EC5616">
            <w:pPr>
              <w:rPr>
                <w:rFonts w:ascii="Verdana" w:hAnsi="Verdana" w:cs="Verdana"/>
                <w:lang w:val="en-GB"/>
              </w:rPr>
            </w:pPr>
            <w:r>
              <w:rPr>
                <w:rFonts w:ascii="Verdana" w:hAnsi="Verdana" w:cs="Verdana"/>
                <w:lang w:val="en-GB"/>
              </w:rPr>
              <w:t>2</w:t>
            </w:r>
          </w:p>
        </w:tc>
      </w:tr>
    </w:tbl>
    <w:p w:rsidR="00C645B8" w:rsidRPr="0021002F" w:rsidRDefault="00C645B8" w:rsidP="00C645B8">
      <w:pPr>
        <w:rPr>
          <w:rFonts w:ascii="Verdana" w:hAnsi="Verdana" w:cs="Verdana"/>
          <w:b/>
          <w:bCs/>
          <w:lang w:val="en-GB"/>
        </w:rPr>
      </w:pPr>
    </w:p>
    <w:p w:rsidR="00C645B8" w:rsidRPr="0021002F" w:rsidRDefault="00C645B8" w:rsidP="00C645B8">
      <w:pPr>
        <w:rPr>
          <w:rFonts w:ascii="Verdana" w:hAnsi="Verdana" w:cs="Verdana"/>
          <w:b/>
          <w:bCs/>
          <w:lang w:val="en-GB"/>
        </w:rPr>
      </w:pPr>
    </w:p>
    <w:p w:rsidR="00C645B8" w:rsidRPr="0021002F" w:rsidRDefault="00B1654F" w:rsidP="00C645B8">
      <w:pPr>
        <w:rPr>
          <w:rFonts w:ascii="Verdana" w:hAnsi="Verdana" w:cs="Verdana"/>
          <w:b/>
          <w:bCs/>
          <w:lang w:val="en-GB"/>
        </w:rPr>
      </w:pPr>
      <w:r>
        <w:rPr>
          <w:rFonts w:ascii="Verdana" w:hAnsi="Verdana" w:cs="Verdana"/>
          <w:b/>
          <w:bCs/>
          <w:lang w:val="en-GB"/>
        </w:rPr>
        <w:t>6.3</w:t>
      </w:r>
      <w:r w:rsidR="00C645B8" w:rsidRPr="0021002F">
        <w:rPr>
          <w:rFonts w:ascii="Verdana" w:hAnsi="Verdana" w:cs="Verdana"/>
          <w:b/>
          <w:bCs/>
          <w:lang w:val="en-GB"/>
        </w:rPr>
        <w:tab/>
        <w:t>Current housing circumstances of households in need</w:t>
      </w:r>
    </w:p>
    <w:p w:rsidR="00C645B8" w:rsidRPr="0021002F" w:rsidRDefault="00C645B8" w:rsidP="00C645B8">
      <w:pPr>
        <w:rPr>
          <w:rFonts w:ascii="Verdana" w:hAnsi="Verdana" w:cs="Verdana"/>
          <w:b/>
          <w:bCs/>
          <w:lang w:val="en-GB"/>
        </w:rPr>
      </w:pPr>
    </w:p>
    <w:p w:rsidR="00C645B8" w:rsidRPr="0021002F" w:rsidRDefault="00C645B8" w:rsidP="00C645B8">
      <w:pPr>
        <w:rPr>
          <w:rFonts w:ascii="Verdana" w:hAnsi="Verdana" w:cs="Verdana"/>
          <w:lang w:val="en-GB"/>
        </w:rPr>
      </w:pPr>
      <w:r w:rsidRPr="0021002F">
        <w:rPr>
          <w:rFonts w:ascii="Verdana" w:hAnsi="Verdana" w:cs="Verdana"/>
          <w:lang w:val="en-GB"/>
        </w:rPr>
        <w:t xml:space="preserve">The current housing circumstances of the </w:t>
      </w:r>
      <w:r w:rsidR="00B1654F">
        <w:rPr>
          <w:rFonts w:ascii="Verdana" w:hAnsi="Verdana" w:cs="Verdana"/>
          <w:lang w:val="en-GB"/>
        </w:rPr>
        <w:t>31</w:t>
      </w:r>
      <w:r w:rsidR="00EC5616" w:rsidRPr="0021002F">
        <w:rPr>
          <w:rFonts w:ascii="Verdana" w:hAnsi="Verdana" w:cs="Verdana"/>
          <w:lang w:val="en-GB"/>
        </w:rPr>
        <w:t xml:space="preserve"> respondents (Q7</w:t>
      </w:r>
      <w:r w:rsidRPr="0021002F">
        <w:rPr>
          <w:rFonts w:ascii="Verdana" w:hAnsi="Verdana" w:cs="Verdana"/>
          <w:lang w:val="en-GB"/>
        </w:rPr>
        <w:t>) broke down as follows:</w:t>
      </w:r>
    </w:p>
    <w:p w:rsidR="00C645B8" w:rsidRDefault="00C645B8" w:rsidP="00C645B8">
      <w:pPr>
        <w:rPr>
          <w:rFonts w:ascii="Verdana" w:hAnsi="Verdana" w:cs="Verdana"/>
          <w:b/>
          <w:bCs/>
          <w:sz w:val="22"/>
          <w:szCs w:val="22"/>
          <w:lang w:val="en-GB"/>
        </w:rPr>
      </w:pPr>
    </w:p>
    <w:tbl>
      <w:tblPr>
        <w:tblW w:w="10007" w:type="dxa"/>
        <w:tblLayout w:type="fixed"/>
        <w:tblCellMar>
          <w:left w:w="180" w:type="dxa"/>
          <w:right w:w="180" w:type="dxa"/>
        </w:tblCellMar>
        <w:tblLook w:val="0000" w:firstRow="0" w:lastRow="0" w:firstColumn="0" w:lastColumn="0" w:noHBand="0" w:noVBand="0"/>
      </w:tblPr>
      <w:tblGrid>
        <w:gridCol w:w="6984"/>
        <w:gridCol w:w="3023"/>
      </w:tblGrid>
      <w:tr w:rsidR="00C645B8" w:rsidRPr="00780E2B" w:rsidTr="00EC5616">
        <w:tc>
          <w:tcPr>
            <w:tcW w:w="6984" w:type="dxa"/>
            <w:tcBorders>
              <w:top w:val="single" w:sz="8" w:space="0" w:color="auto"/>
              <w:left w:val="single" w:sz="8" w:space="0" w:color="auto"/>
              <w:bottom w:val="single" w:sz="8" w:space="0" w:color="auto"/>
              <w:right w:val="nil"/>
            </w:tcBorders>
          </w:tcPr>
          <w:p w:rsidR="00C645B8" w:rsidRPr="00780E2B" w:rsidRDefault="00C645B8" w:rsidP="00EC5616">
            <w:pPr>
              <w:rPr>
                <w:rFonts w:ascii="Verdana" w:hAnsi="Verdana" w:cs="Verdana"/>
                <w:sz w:val="22"/>
                <w:szCs w:val="22"/>
                <w:lang w:val="en-GB"/>
              </w:rPr>
            </w:pPr>
            <w:r w:rsidRPr="00780E2B">
              <w:rPr>
                <w:rFonts w:ascii="Verdana" w:hAnsi="Verdana" w:cs="Verdana"/>
                <w:b/>
                <w:bCs/>
                <w:sz w:val="22"/>
                <w:szCs w:val="22"/>
                <w:lang w:val="en-GB"/>
              </w:rPr>
              <w:t>Housing tenure</w:t>
            </w:r>
          </w:p>
        </w:tc>
        <w:tc>
          <w:tcPr>
            <w:tcW w:w="3023" w:type="dxa"/>
            <w:tcBorders>
              <w:top w:val="single" w:sz="8" w:space="0" w:color="auto"/>
              <w:left w:val="single" w:sz="8" w:space="0" w:color="auto"/>
              <w:bottom w:val="single" w:sz="8" w:space="0" w:color="auto"/>
              <w:right w:val="single" w:sz="8" w:space="0" w:color="auto"/>
            </w:tcBorders>
          </w:tcPr>
          <w:p w:rsidR="00C645B8" w:rsidRPr="00780E2B" w:rsidRDefault="00C645B8" w:rsidP="00EC5616">
            <w:pPr>
              <w:rPr>
                <w:rFonts w:ascii="Verdana" w:hAnsi="Verdana" w:cs="Verdana"/>
                <w:sz w:val="22"/>
                <w:szCs w:val="22"/>
                <w:lang w:val="en-GB"/>
              </w:rPr>
            </w:pPr>
            <w:r w:rsidRPr="00780E2B">
              <w:rPr>
                <w:rFonts w:ascii="Verdana" w:hAnsi="Verdana" w:cs="Verdana"/>
                <w:b/>
                <w:bCs/>
                <w:sz w:val="22"/>
                <w:szCs w:val="22"/>
                <w:lang w:val="en-GB"/>
              </w:rPr>
              <w:t>No. of households</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Living with parent(s) in their home</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A13057" w:rsidP="00EC5616">
            <w:pPr>
              <w:rPr>
                <w:rFonts w:ascii="Verdana" w:hAnsi="Verdana" w:cs="Verdana"/>
                <w:lang w:val="en-GB"/>
              </w:rPr>
            </w:pPr>
            <w:r>
              <w:rPr>
                <w:rFonts w:ascii="Verdana" w:hAnsi="Verdana" w:cs="Verdana"/>
                <w:lang w:val="en-GB"/>
              </w:rPr>
              <w:t>11</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Renting</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A13057" w:rsidP="00EC5616">
            <w:pPr>
              <w:rPr>
                <w:rFonts w:ascii="Verdana" w:hAnsi="Verdana" w:cs="Verdana"/>
                <w:lang w:val="en-GB"/>
              </w:rPr>
            </w:pPr>
            <w:r>
              <w:rPr>
                <w:rFonts w:ascii="Verdana" w:hAnsi="Verdana" w:cs="Verdana"/>
                <w:lang w:val="en-GB"/>
              </w:rPr>
              <w:t>13</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 xml:space="preserve">Owner occupier </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A13057" w:rsidP="00EC5616">
            <w:pPr>
              <w:rPr>
                <w:rFonts w:ascii="Verdana" w:hAnsi="Verdana" w:cs="Verdana"/>
                <w:lang w:val="en-GB"/>
              </w:rPr>
            </w:pPr>
            <w:r>
              <w:rPr>
                <w:rFonts w:ascii="Verdana" w:hAnsi="Verdana" w:cs="Verdana"/>
                <w:lang w:val="en-GB"/>
              </w:rPr>
              <w:t>6</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 xml:space="preserve">Other </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A13057" w:rsidP="00EC5616">
            <w:pPr>
              <w:rPr>
                <w:rFonts w:ascii="Verdana" w:hAnsi="Verdana" w:cs="Verdana"/>
                <w:lang w:val="en-GB"/>
              </w:rPr>
            </w:pPr>
            <w:r>
              <w:rPr>
                <w:rFonts w:ascii="Verdana" w:hAnsi="Verdana" w:cs="Verdana"/>
                <w:lang w:val="en-GB"/>
              </w:rPr>
              <w:t>1</w:t>
            </w:r>
          </w:p>
        </w:tc>
      </w:tr>
    </w:tbl>
    <w:p w:rsidR="00C645B8" w:rsidRPr="0021002F" w:rsidRDefault="00C645B8" w:rsidP="00C645B8">
      <w:pPr>
        <w:rPr>
          <w:rFonts w:ascii="Verdana" w:hAnsi="Verdana" w:cs="Verdana"/>
          <w:b/>
          <w:bCs/>
          <w:lang w:val="en-GB"/>
        </w:rPr>
      </w:pPr>
    </w:p>
    <w:p w:rsidR="00C645B8" w:rsidRDefault="00C645B8" w:rsidP="00C645B8">
      <w:pPr>
        <w:rPr>
          <w:rFonts w:ascii="Verdana" w:hAnsi="Verdana" w:cs="Verdana"/>
          <w:bCs/>
          <w:sz w:val="22"/>
          <w:szCs w:val="22"/>
          <w:lang w:val="en-GB"/>
        </w:rPr>
      </w:pPr>
      <w:r w:rsidRPr="0021002F">
        <w:rPr>
          <w:rFonts w:ascii="Verdana" w:hAnsi="Verdana" w:cs="Verdana"/>
          <w:bCs/>
          <w:lang w:val="en-GB"/>
        </w:rPr>
        <w:t>Owner occupiers would not normally be eligible for affordable rented or shared ownership housing through a rural exception site, however they have been included as they have stated that they are currently at risk of losing their current home</w:t>
      </w:r>
      <w:r w:rsidR="00A13057">
        <w:rPr>
          <w:rFonts w:ascii="Verdana" w:hAnsi="Verdana" w:cs="Verdana"/>
          <w:bCs/>
          <w:lang w:val="en-GB"/>
        </w:rPr>
        <w:t xml:space="preserve"> or they have low income and savings / equity levels</w:t>
      </w:r>
      <w:r w:rsidRPr="0021002F">
        <w:rPr>
          <w:rFonts w:ascii="Verdana" w:hAnsi="Verdana" w:cs="Verdana"/>
          <w:bCs/>
          <w:lang w:val="en-GB"/>
        </w:rPr>
        <w:t xml:space="preserve">.  </w:t>
      </w:r>
      <w:r w:rsidR="00CD2A51" w:rsidRPr="0021002F">
        <w:rPr>
          <w:rFonts w:ascii="Verdana" w:hAnsi="Verdana" w:cs="Verdana"/>
          <w:bCs/>
          <w:lang w:val="en-GB"/>
        </w:rPr>
        <w:t>The majority of respondents were either currently living with parents or renting a property.</w:t>
      </w:r>
      <w:r w:rsidR="00CD2A51">
        <w:rPr>
          <w:rFonts w:ascii="Verdana" w:hAnsi="Verdana" w:cs="Verdana"/>
          <w:bCs/>
          <w:sz w:val="22"/>
          <w:szCs w:val="22"/>
          <w:lang w:val="en-GB"/>
        </w:rPr>
        <w:t xml:space="preserve">  </w:t>
      </w:r>
    </w:p>
    <w:p w:rsidR="00CD2A51" w:rsidRDefault="00CD2A51" w:rsidP="00C645B8">
      <w:pPr>
        <w:rPr>
          <w:rFonts w:ascii="Verdana" w:hAnsi="Verdana" w:cs="Verdana"/>
          <w:b/>
          <w:bCs/>
          <w:sz w:val="22"/>
          <w:szCs w:val="22"/>
          <w:lang w:val="en-GB"/>
        </w:rPr>
      </w:pPr>
    </w:p>
    <w:p w:rsidR="00C645B8" w:rsidRDefault="00C645B8" w:rsidP="00C645B8">
      <w:pPr>
        <w:rPr>
          <w:rFonts w:ascii="Verdana" w:hAnsi="Verdana" w:cs="Verdana"/>
          <w:b/>
          <w:bCs/>
          <w:sz w:val="22"/>
          <w:szCs w:val="22"/>
          <w:lang w:val="en-GB"/>
        </w:rPr>
      </w:pPr>
    </w:p>
    <w:p w:rsidR="00C645B8" w:rsidRPr="0021002F" w:rsidRDefault="00BA6CB3" w:rsidP="00C645B8">
      <w:pPr>
        <w:rPr>
          <w:rFonts w:ascii="Verdana" w:hAnsi="Verdana" w:cs="Verdana"/>
          <w:b/>
          <w:bCs/>
          <w:lang w:val="en-GB"/>
        </w:rPr>
      </w:pPr>
      <w:r>
        <w:rPr>
          <w:rFonts w:ascii="Verdana" w:hAnsi="Verdana" w:cs="Verdana"/>
          <w:b/>
          <w:bCs/>
          <w:lang w:val="en-GB"/>
        </w:rPr>
        <w:t>6.4</w:t>
      </w:r>
      <w:r w:rsidR="00C645B8" w:rsidRPr="0021002F">
        <w:rPr>
          <w:rFonts w:ascii="Verdana" w:hAnsi="Verdana" w:cs="Verdana"/>
          <w:b/>
          <w:bCs/>
          <w:lang w:val="en-GB"/>
        </w:rPr>
        <w:tab/>
        <w:t xml:space="preserve">Household composition </w:t>
      </w:r>
    </w:p>
    <w:p w:rsidR="00C645B8" w:rsidRPr="0021002F" w:rsidRDefault="00C645B8" w:rsidP="00C645B8">
      <w:pPr>
        <w:rPr>
          <w:rFonts w:ascii="Verdana" w:hAnsi="Verdana" w:cs="Verdana"/>
          <w:b/>
          <w:bCs/>
          <w:lang w:val="en-GB"/>
        </w:rPr>
      </w:pPr>
    </w:p>
    <w:p w:rsidR="00C645B8" w:rsidRPr="0021002F" w:rsidRDefault="00C645B8" w:rsidP="00C645B8">
      <w:pPr>
        <w:rPr>
          <w:rFonts w:ascii="Verdana" w:hAnsi="Verdana" w:cs="Verdana"/>
          <w:bCs/>
          <w:lang w:val="en-GB"/>
        </w:rPr>
      </w:pPr>
      <w:r w:rsidRPr="0021002F">
        <w:rPr>
          <w:rFonts w:ascii="Verdana" w:hAnsi="Verdana" w:cs="Verdana"/>
          <w:bCs/>
          <w:lang w:val="en-GB"/>
        </w:rPr>
        <w:t>Respondents</w:t>
      </w:r>
      <w:r w:rsidR="00CD2A51" w:rsidRPr="0021002F">
        <w:rPr>
          <w:rFonts w:ascii="Verdana" w:hAnsi="Verdana" w:cs="Verdana"/>
          <w:bCs/>
          <w:lang w:val="en-GB"/>
        </w:rPr>
        <w:t xml:space="preserve"> were asked (Q10</w:t>
      </w:r>
      <w:r w:rsidRPr="0021002F">
        <w:rPr>
          <w:rFonts w:ascii="Verdana" w:hAnsi="Verdana" w:cs="Verdana"/>
          <w:bCs/>
          <w:lang w:val="en-GB"/>
        </w:rPr>
        <w:t>) which of a number of basic situations best described them:</w:t>
      </w:r>
    </w:p>
    <w:p w:rsidR="00C645B8" w:rsidRPr="0021002F" w:rsidRDefault="00C645B8" w:rsidP="00C645B8">
      <w:pPr>
        <w:rPr>
          <w:rFonts w:ascii="Verdana" w:hAnsi="Verdana" w:cs="Verdana"/>
          <w:b/>
          <w:bCs/>
          <w:lang w:val="en-GB"/>
        </w:rPr>
      </w:pPr>
    </w:p>
    <w:tbl>
      <w:tblPr>
        <w:tblW w:w="10007" w:type="dxa"/>
        <w:tblLayout w:type="fixed"/>
        <w:tblCellMar>
          <w:left w:w="180" w:type="dxa"/>
          <w:right w:w="180" w:type="dxa"/>
        </w:tblCellMar>
        <w:tblLook w:val="0000" w:firstRow="0" w:lastRow="0" w:firstColumn="0" w:lastColumn="0" w:noHBand="0" w:noVBand="0"/>
      </w:tblPr>
      <w:tblGrid>
        <w:gridCol w:w="6984"/>
        <w:gridCol w:w="3023"/>
      </w:tblGrid>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Situation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 young single person/couple without dependent children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340DA" w:rsidP="00EC5616">
            <w:pPr>
              <w:rPr>
                <w:rFonts w:ascii="Verdana" w:hAnsi="Verdana" w:cs="Verdana"/>
                <w:lang w:val="en-GB"/>
              </w:rPr>
            </w:pPr>
            <w:r>
              <w:rPr>
                <w:rFonts w:ascii="Verdana" w:hAnsi="Verdana" w:cs="Verdana"/>
                <w:lang w:val="en-GB"/>
              </w:rPr>
              <w:t>10</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 family with dependent child(ren) or other dependent(s)</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340DA" w:rsidP="00EC5616">
            <w:pPr>
              <w:rPr>
                <w:rFonts w:ascii="Verdana" w:hAnsi="Verdana" w:cs="Verdana"/>
                <w:lang w:val="en-GB"/>
              </w:rPr>
            </w:pPr>
            <w:r>
              <w:rPr>
                <w:rFonts w:ascii="Verdana" w:hAnsi="Verdana" w:cs="Verdana"/>
                <w:lang w:val="en-GB"/>
              </w:rPr>
              <w:t>9</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An older single person/couple without dependent children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340DA" w:rsidP="00EC5616">
            <w:pPr>
              <w:rPr>
                <w:rFonts w:ascii="Verdana" w:hAnsi="Verdana" w:cs="Verdana"/>
                <w:lang w:val="en-GB"/>
              </w:rPr>
            </w:pPr>
            <w:r>
              <w:rPr>
                <w:rFonts w:ascii="Verdana" w:hAnsi="Verdana" w:cs="Verdana"/>
                <w:lang w:val="en-GB"/>
              </w:rPr>
              <w:t>10</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 xml:space="preserve">Other </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340DA" w:rsidP="00EC5616">
            <w:pPr>
              <w:rPr>
                <w:rFonts w:ascii="Verdana" w:hAnsi="Verdana" w:cs="Verdana"/>
                <w:lang w:val="en-GB"/>
              </w:rPr>
            </w:pPr>
            <w:r>
              <w:rPr>
                <w:rFonts w:ascii="Verdana" w:hAnsi="Verdana" w:cs="Verdana"/>
                <w:lang w:val="en-GB"/>
              </w:rPr>
              <w:t>2</w:t>
            </w:r>
          </w:p>
        </w:tc>
      </w:tr>
    </w:tbl>
    <w:p w:rsidR="00C645B8" w:rsidRPr="0021002F" w:rsidRDefault="00BA6CB3" w:rsidP="00C645B8">
      <w:pPr>
        <w:overflowPunct/>
        <w:autoSpaceDE w:val="0"/>
        <w:autoSpaceDN w:val="0"/>
        <w:rPr>
          <w:rFonts w:ascii="Verdana" w:hAnsi="Verdana" w:cs="Verdana"/>
          <w:b/>
          <w:lang w:val="en-GB"/>
        </w:rPr>
      </w:pPr>
      <w:r>
        <w:rPr>
          <w:rFonts w:ascii="Verdana" w:hAnsi="Verdana" w:cs="Verdana"/>
          <w:b/>
          <w:lang w:val="en-GB"/>
        </w:rPr>
        <w:lastRenderedPageBreak/>
        <w:t>6.5</w:t>
      </w:r>
      <w:r w:rsidR="00C645B8" w:rsidRPr="0021002F">
        <w:rPr>
          <w:rFonts w:ascii="Verdana" w:hAnsi="Verdana" w:cs="Verdana"/>
          <w:b/>
          <w:lang w:val="en-GB"/>
        </w:rPr>
        <w:tab/>
        <w:t>Size, type and tenure of housing sought</w:t>
      </w:r>
    </w:p>
    <w:p w:rsidR="00C645B8" w:rsidRPr="0021002F" w:rsidRDefault="00C645B8" w:rsidP="00C645B8">
      <w:pPr>
        <w:overflowPunct/>
        <w:autoSpaceDE w:val="0"/>
        <w:autoSpaceDN w:val="0"/>
        <w:rPr>
          <w:rFonts w:ascii="Verdana" w:hAnsi="Verdana" w:cs="Verdana"/>
          <w:lang w:val="en-GB"/>
        </w:rPr>
      </w:pPr>
    </w:p>
    <w:p w:rsidR="00C645B8" w:rsidRDefault="00C645B8" w:rsidP="00C645B8">
      <w:pPr>
        <w:rPr>
          <w:rFonts w:ascii="Verdana" w:hAnsi="Verdana" w:cs="Verdana"/>
          <w:bCs/>
          <w:lang w:val="en-GB"/>
        </w:rPr>
      </w:pPr>
      <w:r w:rsidRPr="0021002F">
        <w:rPr>
          <w:rFonts w:ascii="Verdana" w:hAnsi="Verdana" w:cs="Verdana"/>
          <w:bCs/>
          <w:lang w:val="en-GB"/>
        </w:rPr>
        <w:t xml:space="preserve">The housing type, size and tenure sought by the households in need </w:t>
      </w:r>
      <w:r w:rsidR="00E62816" w:rsidRPr="0021002F">
        <w:rPr>
          <w:rFonts w:ascii="Verdana" w:hAnsi="Verdana" w:cs="Verdana"/>
          <w:bCs/>
          <w:lang w:val="en-GB"/>
        </w:rPr>
        <w:t>(Q8</w:t>
      </w:r>
      <w:r w:rsidRPr="0021002F">
        <w:rPr>
          <w:rFonts w:ascii="Verdana" w:hAnsi="Verdana" w:cs="Verdana"/>
          <w:bCs/>
          <w:lang w:val="en-GB"/>
        </w:rPr>
        <w:t>) broke down as follows (respondents could tick more than one):</w:t>
      </w:r>
    </w:p>
    <w:p w:rsidR="0021002F" w:rsidRDefault="0021002F" w:rsidP="00C645B8">
      <w:pPr>
        <w:rPr>
          <w:rFonts w:ascii="Verdana" w:hAnsi="Verdana" w:cs="Verdana"/>
          <w:bCs/>
          <w:lang w:val="en-GB"/>
        </w:rPr>
      </w:pPr>
    </w:p>
    <w:p w:rsidR="00C645B8" w:rsidRPr="0021002F" w:rsidRDefault="00C645B8" w:rsidP="00C645B8">
      <w:pPr>
        <w:rPr>
          <w:rFonts w:ascii="Verdana" w:hAnsi="Verdana" w:cs="Verdana"/>
          <w:bCs/>
          <w:lang w:val="en-GB"/>
        </w:rPr>
      </w:pPr>
    </w:p>
    <w:tbl>
      <w:tblPr>
        <w:tblW w:w="10007" w:type="dxa"/>
        <w:tblLayout w:type="fixed"/>
        <w:tblCellMar>
          <w:left w:w="180" w:type="dxa"/>
          <w:right w:w="180" w:type="dxa"/>
        </w:tblCellMar>
        <w:tblLook w:val="0000" w:firstRow="0" w:lastRow="0" w:firstColumn="0" w:lastColumn="0" w:noHBand="0" w:noVBand="0"/>
      </w:tblPr>
      <w:tblGrid>
        <w:gridCol w:w="6984"/>
        <w:gridCol w:w="3023"/>
      </w:tblGrid>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Housing tenure</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9F40F9" w:rsidP="00EC5616">
            <w:pPr>
              <w:ind w:right="54"/>
              <w:rPr>
                <w:rFonts w:ascii="Verdana" w:hAnsi="Verdana" w:cs="Verdana"/>
                <w:lang w:val="en-GB"/>
              </w:rPr>
            </w:pPr>
            <w:r>
              <w:rPr>
                <w:rFonts w:ascii="Verdana" w:hAnsi="Verdana" w:cs="Verdana"/>
                <w:lang w:val="en-GB"/>
              </w:rPr>
              <w:t>Private Rental</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700ADD" w:rsidP="00EC5616">
            <w:pPr>
              <w:rPr>
                <w:rFonts w:ascii="Verdana" w:hAnsi="Verdana" w:cs="Verdana"/>
                <w:lang w:val="en-GB"/>
              </w:rPr>
            </w:pPr>
            <w:r>
              <w:rPr>
                <w:rFonts w:ascii="Verdana" w:hAnsi="Verdana" w:cs="Verdana"/>
                <w:lang w:val="en-GB"/>
              </w:rPr>
              <w:t>8</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Affordable Rental</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700ADD" w:rsidP="00EC5616">
            <w:pPr>
              <w:rPr>
                <w:rFonts w:ascii="Verdana" w:hAnsi="Verdana" w:cs="Verdana"/>
                <w:lang w:val="en-GB"/>
              </w:rPr>
            </w:pPr>
            <w:r>
              <w:rPr>
                <w:rFonts w:ascii="Verdana" w:hAnsi="Verdana" w:cs="Verdana"/>
                <w:lang w:val="en-GB"/>
              </w:rPr>
              <w:t>21</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Buy on the open market</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700ADD" w:rsidP="00EC5616">
            <w:pPr>
              <w:rPr>
                <w:rFonts w:ascii="Verdana" w:hAnsi="Verdana" w:cs="Verdana"/>
                <w:lang w:val="en-GB"/>
              </w:rPr>
            </w:pPr>
            <w:r>
              <w:rPr>
                <w:rFonts w:ascii="Verdana" w:hAnsi="Verdana" w:cs="Verdana"/>
                <w:lang w:val="en-GB"/>
              </w:rPr>
              <w:t>12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Buy on a shared ownership basis (part own &amp; part rent)</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700ADD" w:rsidP="00EC5616">
            <w:pPr>
              <w:rPr>
                <w:rFonts w:ascii="Verdana" w:hAnsi="Verdana" w:cs="Verdana"/>
                <w:lang w:val="en-GB"/>
              </w:rPr>
            </w:pPr>
            <w:r>
              <w:rPr>
                <w:rFonts w:ascii="Verdana" w:hAnsi="Verdana" w:cs="Verdana"/>
                <w:lang w:val="en-GB"/>
              </w:rPr>
              <w:t>9</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b/>
                <w:lang w:val="en-GB"/>
              </w:rPr>
            </w:pPr>
            <w:r w:rsidRPr="0021002F">
              <w:rPr>
                <w:rFonts w:ascii="Verdana" w:hAnsi="Verdana" w:cs="Verdana"/>
                <w:b/>
                <w:lang w:val="en-GB"/>
              </w:rPr>
              <w:t>Type of property</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Flat</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02A10" w:rsidP="00EC5616">
            <w:pPr>
              <w:rPr>
                <w:rFonts w:ascii="Verdana" w:hAnsi="Verdana" w:cs="Verdana"/>
                <w:lang w:val="en-GB"/>
              </w:rPr>
            </w:pPr>
            <w:r>
              <w:rPr>
                <w:rFonts w:ascii="Verdana" w:hAnsi="Verdana" w:cs="Verdana"/>
                <w:lang w:val="en-GB"/>
              </w:rPr>
              <w:t>8</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House</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02A10" w:rsidP="00EC5616">
            <w:pPr>
              <w:rPr>
                <w:rFonts w:ascii="Verdana" w:hAnsi="Verdana" w:cs="Verdana"/>
                <w:lang w:val="en-GB"/>
              </w:rPr>
            </w:pPr>
            <w:r>
              <w:rPr>
                <w:rFonts w:ascii="Verdana" w:hAnsi="Verdana" w:cs="Verdana"/>
                <w:lang w:val="en-GB"/>
              </w:rPr>
              <w:t>22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Bungalow / retirement property</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902A10" w:rsidP="00EC5616">
            <w:pPr>
              <w:rPr>
                <w:rFonts w:ascii="Verdana" w:hAnsi="Verdana" w:cs="Verdana"/>
                <w:lang w:val="en-GB"/>
              </w:rPr>
            </w:pPr>
            <w:r>
              <w:rPr>
                <w:rFonts w:ascii="Verdana" w:hAnsi="Verdana" w:cs="Verdana"/>
                <w:lang w:val="en-GB"/>
              </w:rPr>
              <w:t>9</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b/>
                <w:lang w:val="en-GB"/>
              </w:rPr>
            </w:pPr>
            <w:r w:rsidRPr="0021002F">
              <w:rPr>
                <w:rFonts w:ascii="Verdana" w:hAnsi="Verdana" w:cs="Verdana"/>
                <w:b/>
                <w:lang w:val="en-GB"/>
              </w:rPr>
              <w:t>Size of property</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One bedroom</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A1B8C" w:rsidP="00EC5616">
            <w:pPr>
              <w:rPr>
                <w:rFonts w:ascii="Verdana" w:hAnsi="Verdana" w:cs="Verdana"/>
                <w:lang w:val="en-GB"/>
              </w:rPr>
            </w:pPr>
            <w:r>
              <w:rPr>
                <w:rFonts w:ascii="Verdana" w:hAnsi="Verdana" w:cs="Verdana"/>
                <w:lang w:val="en-GB"/>
              </w:rPr>
              <w:t>5</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Two bedrooms</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A1B8C" w:rsidP="00EC5616">
            <w:pPr>
              <w:rPr>
                <w:rFonts w:ascii="Verdana" w:hAnsi="Verdana" w:cs="Verdana"/>
                <w:lang w:val="en-GB"/>
              </w:rPr>
            </w:pPr>
            <w:r>
              <w:rPr>
                <w:rFonts w:ascii="Verdana" w:hAnsi="Verdana" w:cs="Verdana"/>
                <w:lang w:val="en-GB"/>
              </w:rPr>
              <w:t>22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Three bedrooms</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A1B8C" w:rsidP="00EC5616">
            <w:pPr>
              <w:rPr>
                <w:rFonts w:ascii="Verdana" w:hAnsi="Verdana" w:cs="Verdana"/>
                <w:lang w:val="en-GB"/>
              </w:rPr>
            </w:pPr>
            <w:r>
              <w:rPr>
                <w:rFonts w:ascii="Verdana" w:hAnsi="Verdana" w:cs="Verdana"/>
                <w:lang w:val="en-GB"/>
              </w:rPr>
              <w:t>8</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More than three bedrooms</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p>
        </w:tc>
      </w:tr>
    </w:tbl>
    <w:p w:rsidR="00C645B8" w:rsidRPr="0021002F" w:rsidRDefault="00C645B8" w:rsidP="00C645B8">
      <w:pPr>
        <w:rPr>
          <w:rFonts w:ascii="Verdana" w:hAnsi="Verdana" w:cs="Verdana"/>
          <w:bCs/>
          <w:lang w:val="en-GB"/>
        </w:rPr>
      </w:pPr>
    </w:p>
    <w:p w:rsidR="00C645B8" w:rsidRPr="0021002F" w:rsidRDefault="003F4991" w:rsidP="00C645B8">
      <w:pPr>
        <w:rPr>
          <w:rFonts w:ascii="Verdana" w:hAnsi="Verdana" w:cs="Verdana"/>
          <w:b/>
          <w:bCs/>
          <w:lang w:val="en-GB"/>
        </w:rPr>
      </w:pPr>
      <w:r w:rsidRPr="0021002F">
        <w:rPr>
          <w:rFonts w:ascii="Verdana" w:hAnsi="Verdana" w:cs="Verdana"/>
          <w:bCs/>
          <w:lang w:val="en-GB"/>
        </w:rPr>
        <w:t>1</w:t>
      </w:r>
      <w:r w:rsidR="00CA1B8C">
        <w:rPr>
          <w:rFonts w:ascii="Verdana" w:hAnsi="Verdana" w:cs="Verdana"/>
          <w:bCs/>
          <w:lang w:val="en-GB"/>
        </w:rPr>
        <w:t>2</w:t>
      </w:r>
      <w:r w:rsidR="00C645B8" w:rsidRPr="0021002F">
        <w:rPr>
          <w:rFonts w:ascii="Verdana" w:hAnsi="Verdana" w:cs="Verdana"/>
          <w:bCs/>
          <w:lang w:val="en-GB"/>
        </w:rPr>
        <w:t xml:space="preserve"> respondents wanted to bu</w:t>
      </w:r>
      <w:r w:rsidRPr="0021002F">
        <w:rPr>
          <w:rFonts w:ascii="Verdana" w:hAnsi="Verdana" w:cs="Verdana"/>
          <w:bCs/>
          <w:lang w:val="en-GB"/>
        </w:rPr>
        <w:t xml:space="preserve">y on the open market, although </w:t>
      </w:r>
      <w:r w:rsidR="00CA1B8C">
        <w:rPr>
          <w:rFonts w:ascii="Verdana" w:hAnsi="Verdana" w:cs="Verdana"/>
          <w:bCs/>
          <w:lang w:val="en-GB"/>
        </w:rPr>
        <w:t>8</w:t>
      </w:r>
      <w:r w:rsidR="00C645B8" w:rsidRPr="0021002F">
        <w:rPr>
          <w:rFonts w:ascii="Verdana" w:hAnsi="Verdana" w:cs="Verdana"/>
          <w:bCs/>
          <w:lang w:val="en-GB"/>
        </w:rPr>
        <w:t xml:space="preserve"> of these were also interested in </w:t>
      </w:r>
      <w:r w:rsidRPr="0021002F">
        <w:rPr>
          <w:rFonts w:ascii="Verdana" w:hAnsi="Verdana" w:cs="Verdana"/>
          <w:bCs/>
          <w:lang w:val="en-GB"/>
        </w:rPr>
        <w:t xml:space="preserve">affordable </w:t>
      </w:r>
      <w:r w:rsidR="00C645B8" w:rsidRPr="0021002F">
        <w:rPr>
          <w:rFonts w:ascii="Verdana" w:hAnsi="Verdana" w:cs="Verdana"/>
          <w:bCs/>
          <w:lang w:val="en-GB"/>
        </w:rPr>
        <w:t xml:space="preserve">rent and shared ownership, and the other </w:t>
      </w:r>
      <w:r w:rsidR="00CA1B8C">
        <w:rPr>
          <w:rFonts w:ascii="Verdana" w:hAnsi="Verdana" w:cs="Verdana"/>
          <w:bCs/>
          <w:lang w:val="en-GB"/>
        </w:rPr>
        <w:t>4</w:t>
      </w:r>
      <w:r w:rsidR="00C645B8" w:rsidRPr="0021002F">
        <w:rPr>
          <w:rFonts w:ascii="Verdana" w:hAnsi="Verdana" w:cs="Verdana"/>
          <w:bCs/>
          <w:lang w:val="en-GB"/>
        </w:rPr>
        <w:t xml:space="preserve"> would</w:t>
      </w:r>
      <w:r w:rsidRPr="0021002F">
        <w:rPr>
          <w:rFonts w:ascii="Verdana" w:hAnsi="Verdana" w:cs="Verdana"/>
          <w:bCs/>
          <w:lang w:val="en-GB"/>
        </w:rPr>
        <w:t xml:space="preserve"> most likely</w:t>
      </w:r>
      <w:r w:rsidR="00C645B8" w:rsidRPr="0021002F">
        <w:rPr>
          <w:rFonts w:ascii="Verdana" w:hAnsi="Verdana" w:cs="Verdana"/>
          <w:bCs/>
          <w:lang w:val="en-GB"/>
        </w:rPr>
        <w:t xml:space="preserve"> not currently be able to afford to buy in </w:t>
      </w:r>
      <w:r w:rsidR="00CA1B8C">
        <w:rPr>
          <w:rFonts w:ascii="Verdana" w:hAnsi="Verdana" w:cs="Verdana"/>
          <w:bCs/>
          <w:lang w:val="en-GB"/>
        </w:rPr>
        <w:t>Oakley</w:t>
      </w:r>
      <w:r w:rsidR="00C645B8" w:rsidRPr="0021002F">
        <w:rPr>
          <w:rFonts w:ascii="Verdana" w:hAnsi="Verdana" w:cs="Verdana"/>
          <w:bCs/>
          <w:lang w:val="en-GB"/>
        </w:rPr>
        <w:t xml:space="preserve"> based </w:t>
      </w:r>
      <w:r w:rsidR="009666AD">
        <w:rPr>
          <w:rFonts w:ascii="Verdana" w:hAnsi="Verdana" w:cs="Verdana"/>
          <w:bCs/>
          <w:lang w:val="en-GB"/>
        </w:rPr>
        <w:t xml:space="preserve">on the financial data provided.  </w:t>
      </w:r>
      <w:r w:rsidR="00CA1B8C">
        <w:rPr>
          <w:rFonts w:ascii="Verdana" w:hAnsi="Verdana" w:cs="Verdana"/>
          <w:bCs/>
          <w:lang w:val="en-GB"/>
        </w:rPr>
        <w:t>M</w:t>
      </w:r>
      <w:r w:rsidR="00C645B8" w:rsidRPr="0021002F">
        <w:rPr>
          <w:rFonts w:ascii="Verdana" w:hAnsi="Verdana" w:cs="Verdana"/>
          <w:bCs/>
          <w:lang w:val="en-GB"/>
        </w:rPr>
        <w:t>ost of the demand was for 2</w:t>
      </w:r>
      <w:r w:rsidRPr="0021002F">
        <w:rPr>
          <w:rFonts w:ascii="Verdana" w:hAnsi="Verdana" w:cs="Verdana"/>
          <w:bCs/>
          <w:lang w:val="en-GB"/>
        </w:rPr>
        <w:t xml:space="preserve"> </w:t>
      </w:r>
      <w:r w:rsidR="00C645B8" w:rsidRPr="0021002F">
        <w:rPr>
          <w:rFonts w:ascii="Verdana" w:hAnsi="Verdana" w:cs="Verdana"/>
          <w:bCs/>
          <w:lang w:val="en-GB"/>
        </w:rPr>
        <w:t xml:space="preserve">bedroom houses </w:t>
      </w:r>
      <w:r w:rsidRPr="0021002F">
        <w:rPr>
          <w:rFonts w:ascii="Verdana" w:hAnsi="Verdana" w:cs="Verdana"/>
          <w:bCs/>
          <w:lang w:val="en-GB"/>
        </w:rPr>
        <w:t>with a smaller demand for bungalows /</w:t>
      </w:r>
      <w:r w:rsidR="00C645B8" w:rsidRPr="0021002F">
        <w:rPr>
          <w:rFonts w:ascii="Verdana" w:hAnsi="Verdana" w:cs="Verdana"/>
          <w:bCs/>
          <w:lang w:val="en-GB"/>
        </w:rPr>
        <w:t xml:space="preserve"> retirement properties.  There was the highest demand for</w:t>
      </w:r>
      <w:r w:rsidRPr="0021002F">
        <w:rPr>
          <w:rFonts w:ascii="Verdana" w:hAnsi="Verdana" w:cs="Verdana"/>
          <w:bCs/>
          <w:lang w:val="en-GB"/>
        </w:rPr>
        <w:t xml:space="preserve"> affordable rental properties</w:t>
      </w:r>
      <w:r w:rsidR="009666AD">
        <w:rPr>
          <w:rFonts w:ascii="Verdana" w:hAnsi="Verdana" w:cs="Verdana"/>
          <w:bCs/>
          <w:lang w:val="en-GB"/>
        </w:rPr>
        <w:t>.</w:t>
      </w:r>
      <w:r w:rsidRPr="0021002F">
        <w:rPr>
          <w:rFonts w:ascii="Verdana" w:hAnsi="Verdana" w:cs="Verdana"/>
          <w:bCs/>
          <w:lang w:val="en-GB"/>
        </w:rPr>
        <w:t xml:space="preserve"> </w:t>
      </w:r>
    </w:p>
    <w:p w:rsidR="00C645B8" w:rsidRPr="0021002F" w:rsidRDefault="00C645B8" w:rsidP="00C645B8">
      <w:pPr>
        <w:widowControl/>
        <w:overflowPunct/>
        <w:adjustRightInd/>
        <w:rPr>
          <w:rFonts w:ascii="Verdana" w:hAnsi="Verdana" w:cs="Verdana"/>
          <w:b/>
          <w:bCs/>
          <w:lang w:val="en-GB"/>
        </w:rPr>
      </w:pPr>
    </w:p>
    <w:p w:rsidR="00C645B8" w:rsidRPr="0021002F" w:rsidRDefault="00BA6CB3" w:rsidP="00C645B8">
      <w:pPr>
        <w:widowControl/>
        <w:overflowPunct/>
        <w:adjustRightInd/>
        <w:rPr>
          <w:rFonts w:ascii="Verdana" w:hAnsi="Verdana" w:cs="Verdana"/>
          <w:b/>
          <w:bCs/>
          <w:lang w:val="en-GB"/>
        </w:rPr>
      </w:pPr>
      <w:r>
        <w:rPr>
          <w:rFonts w:ascii="Verdana" w:hAnsi="Verdana" w:cs="Verdana"/>
          <w:b/>
          <w:bCs/>
          <w:lang w:val="en-GB"/>
        </w:rPr>
        <w:t>6.6</w:t>
      </w:r>
      <w:r w:rsidR="00C645B8" w:rsidRPr="0021002F">
        <w:rPr>
          <w:rFonts w:ascii="Verdana" w:hAnsi="Verdana" w:cs="Verdana"/>
          <w:b/>
          <w:bCs/>
          <w:lang w:val="en-GB"/>
        </w:rPr>
        <w:tab/>
        <w:t>Reason for housing need</w:t>
      </w:r>
    </w:p>
    <w:p w:rsidR="00C645B8" w:rsidRPr="0021002F" w:rsidRDefault="00C645B8" w:rsidP="00C645B8">
      <w:pPr>
        <w:ind w:left="360"/>
        <w:rPr>
          <w:rFonts w:ascii="Verdana" w:hAnsi="Verdana" w:cs="Verdana"/>
          <w:b/>
          <w:bCs/>
          <w:lang w:val="en-GB"/>
        </w:rPr>
      </w:pPr>
    </w:p>
    <w:p w:rsidR="00C645B8" w:rsidRPr="0021002F" w:rsidRDefault="00C645B8" w:rsidP="00C645B8">
      <w:pPr>
        <w:rPr>
          <w:rFonts w:ascii="Verdana" w:hAnsi="Verdana" w:cs="Verdana"/>
          <w:lang w:val="en-GB"/>
        </w:rPr>
      </w:pPr>
      <w:r w:rsidRPr="0021002F">
        <w:rPr>
          <w:rFonts w:ascii="Verdana" w:hAnsi="Verdana" w:cs="Verdana"/>
          <w:lang w:val="en-GB"/>
        </w:rPr>
        <w:t>The reasons for housing need iden</w:t>
      </w:r>
      <w:r w:rsidR="00B016D5" w:rsidRPr="0021002F">
        <w:rPr>
          <w:rFonts w:ascii="Verdana" w:hAnsi="Verdana" w:cs="Verdana"/>
          <w:lang w:val="en-GB"/>
        </w:rPr>
        <w:t xml:space="preserve">tified by the </w:t>
      </w:r>
      <w:r w:rsidR="009666AD">
        <w:rPr>
          <w:rFonts w:ascii="Verdana" w:hAnsi="Verdana" w:cs="Verdana"/>
          <w:lang w:val="en-GB"/>
        </w:rPr>
        <w:t>31</w:t>
      </w:r>
      <w:r w:rsidR="00050BA3" w:rsidRPr="0021002F">
        <w:rPr>
          <w:rFonts w:ascii="Verdana" w:hAnsi="Verdana" w:cs="Verdana"/>
          <w:lang w:val="en-GB"/>
        </w:rPr>
        <w:t xml:space="preserve"> respondents (Q9</w:t>
      </w:r>
      <w:r w:rsidRPr="0021002F">
        <w:rPr>
          <w:rFonts w:ascii="Verdana" w:hAnsi="Verdana" w:cs="Verdana"/>
          <w:lang w:val="en-GB"/>
        </w:rPr>
        <w:t>) can be summarised as follows (respondents were able to identify more than one):</w:t>
      </w:r>
    </w:p>
    <w:p w:rsidR="00C645B8" w:rsidRPr="0021002F" w:rsidRDefault="00C645B8" w:rsidP="00C645B8">
      <w:pPr>
        <w:rPr>
          <w:rFonts w:ascii="Verdana" w:hAnsi="Verdana" w:cs="Verdana"/>
          <w:lang w:val="en-GB"/>
        </w:rPr>
      </w:pPr>
    </w:p>
    <w:tbl>
      <w:tblPr>
        <w:tblW w:w="0" w:type="auto"/>
        <w:tblLayout w:type="fixed"/>
        <w:tblCellMar>
          <w:left w:w="180" w:type="dxa"/>
          <w:right w:w="180" w:type="dxa"/>
        </w:tblCellMar>
        <w:tblLook w:val="0000" w:firstRow="0" w:lastRow="0" w:firstColumn="0" w:lastColumn="0" w:noHBand="0" w:noVBand="0"/>
      </w:tblPr>
      <w:tblGrid>
        <w:gridCol w:w="6984"/>
        <w:gridCol w:w="2916"/>
      </w:tblGrid>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Need</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Present home too large / wish to downsize</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4</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Present home too small</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Want to move out of the family home</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8</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First time buyer</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12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Medical reasons / disability</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Risk of losing current home</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6</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Need property more suited to older people</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 xml:space="preserve">Need to live closer to family or carer </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2</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Present home too expensive</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9</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lang w:val="en-GB"/>
              </w:rPr>
              <w:t>Other</w:t>
            </w:r>
          </w:p>
        </w:tc>
        <w:tc>
          <w:tcPr>
            <w:tcW w:w="2916" w:type="dxa"/>
            <w:tcBorders>
              <w:top w:val="single" w:sz="8" w:space="0" w:color="auto"/>
              <w:left w:val="single" w:sz="8" w:space="0" w:color="auto"/>
              <w:bottom w:val="single" w:sz="8" w:space="0" w:color="auto"/>
              <w:right w:val="single" w:sz="8" w:space="0" w:color="auto"/>
            </w:tcBorders>
          </w:tcPr>
          <w:p w:rsidR="00C645B8" w:rsidRPr="0021002F" w:rsidRDefault="00E67732" w:rsidP="00EC5616">
            <w:pPr>
              <w:rPr>
                <w:rFonts w:ascii="Verdana" w:hAnsi="Verdana" w:cs="Verdana"/>
                <w:lang w:val="en-GB"/>
              </w:rPr>
            </w:pPr>
            <w:r>
              <w:rPr>
                <w:rFonts w:ascii="Verdana" w:hAnsi="Verdana" w:cs="Verdana"/>
                <w:lang w:val="en-GB"/>
              </w:rPr>
              <w:t>2</w:t>
            </w:r>
          </w:p>
        </w:tc>
      </w:tr>
    </w:tbl>
    <w:p w:rsidR="00C645B8" w:rsidRPr="0021002F" w:rsidRDefault="00C645B8" w:rsidP="00C645B8">
      <w:pPr>
        <w:overflowPunct/>
        <w:autoSpaceDE w:val="0"/>
        <w:autoSpaceDN w:val="0"/>
        <w:rPr>
          <w:rFonts w:ascii="Verdana" w:hAnsi="Verdana" w:cs="Verdana"/>
          <w:lang w:val="en-GB"/>
        </w:rPr>
      </w:pPr>
    </w:p>
    <w:p w:rsidR="00C645B8" w:rsidRPr="0021002F" w:rsidRDefault="00C645B8" w:rsidP="00C645B8">
      <w:pPr>
        <w:overflowPunct/>
        <w:autoSpaceDE w:val="0"/>
        <w:autoSpaceDN w:val="0"/>
        <w:rPr>
          <w:rFonts w:ascii="Verdana" w:hAnsi="Verdana" w:cs="Verdana"/>
          <w:lang w:val="en-GB"/>
        </w:rPr>
      </w:pPr>
      <w:r w:rsidRPr="0021002F">
        <w:rPr>
          <w:rFonts w:ascii="Verdana" w:hAnsi="Verdana" w:cs="Verdana"/>
          <w:lang w:val="en-GB"/>
        </w:rPr>
        <w:lastRenderedPageBreak/>
        <w:t>The need was predominantly from younger households wanting to move out of the family home and/or get on the housing ladder</w:t>
      </w:r>
      <w:r w:rsidR="0018217F">
        <w:rPr>
          <w:rFonts w:ascii="Verdana" w:hAnsi="Verdana" w:cs="Verdana"/>
          <w:lang w:val="en-GB"/>
        </w:rPr>
        <w:t>.   There was a demand from</w:t>
      </w:r>
      <w:r w:rsidRPr="0021002F">
        <w:rPr>
          <w:rFonts w:ascii="Verdana" w:hAnsi="Verdana" w:cs="Verdana"/>
          <w:lang w:val="en-GB"/>
        </w:rPr>
        <w:t xml:space="preserve"> existing families seeking </w:t>
      </w:r>
      <w:r w:rsidR="00B016D5" w:rsidRPr="0021002F">
        <w:rPr>
          <w:rFonts w:ascii="Verdana" w:hAnsi="Verdana" w:cs="Verdana"/>
          <w:lang w:val="en-GB"/>
        </w:rPr>
        <w:t>at risk of losing the</w:t>
      </w:r>
      <w:r w:rsidR="0018217F">
        <w:rPr>
          <w:rFonts w:ascii="Verdana" w:hAnsi="Verdana" w:cs="Verdana"/>
          <w:lang w:val="en-GB"/>
        </w:rPr>
        <w:t xml:space="preserve">ir current home and older single people / couples looking to downsize.  </w:t>
      </w:r>
    </w:p>
    <w:p w:rsidR="00C645B8" w:rsidRDefault="00C645B8" w:rsidP="00C645B8">
      <w:pPr>
        <w:widowControl/>
        <w:overflowPunct/>
        <w:adjustRightInd/>
        <w:rPr>
          <w:rFonts w:ascii="Verdana" w:hAnsi="Verdana" w:cs="Verdana"/>
          <w:b/>
          <w:sz w:val="22"/>
          <w:szCs w:val="22"/>
          <w:lang w:val="en-GB"/>
        </w:rPr>
      </w:pPr>
    </w:p>
    <w:p w:rsidR="00C645B8" w:rsidRPr="0021002F" w:rsidRDefault="00BA6CB3" w:rsidP="00C645B8">
      <w:pPr>
        <w:tabs>
          <w:tab w:val="left" w:pos="720"/>
        </w:tabs>
        <w:ind w:left="720" w:hanging="720"/>
        <w:rPr>
          <w:rFonts w:ascii="Verdana" w:hAnsi="Verdana" w:cs="Verdana"/>
          <w:b/>
          <w:bCs/>
          <w:lang w:val="en-GB"/>
        </w:rPr>
      </w:pPr>
      <w:r w:rsidRPr="00822CBD">
        <w:rPr>
          <w:rFonts w:ascii="Verdana" w:hAnsi="Verdana" w:cs="Verdana"/>
          <w:b/>
          <w:bCs/>
          <w:lang w:val="en-GB"/>
        </w:rPr>
        <w:t>6.7</w:t>
      </w:r>
      <w:r w:rsidR="00C645B8" w:rsidRPr="0021002F">
        <w:rPr>
          <w:rFonts w:ascii="Verdana" w:hAnsi="Verdana" w:cs="Verdana"/>
          <w:b/>
          <w:bCs/>
          <w:lang w:val="en-GB"/>
        </w:rPr>
        <w:tab/>
        <w:t>Gross income of households in need</w:t>
      </w:r>
    </w:p>
    <w:p w:rsidR="00C645B8" w:rsidRPr="0021002F" w:rsidRDefault="00C645B8" w:rsidP="00C645B8">
      <w:pPr>
        <w:ind w:left="360"/>
        <w:rPr>
          <w:rFonts w:ascii="Verdana" w:hAnsi="Verdana" w:cs="Verdana"/>
          <w:b/>
          <w:bCs/>
          <w:lang w:val="en-GB"/>
        </w:rPr>
      </w:pPr>
      <w:r w:rsidRPr="0021002F">
        <w:rPr>
          <w:rFonts w:ascii="Verdana" w:hAnsi="Verdana" w:cs="Verdana"/>
          <w:b/>
          <w:bCs/>
          <w:lang w:val="en-GB"/>
        </w:rPr>
        <w:t xml:space="preserve"> </w:t>
      </w:r>
    </w:p>
    <w:p w:rsidR="00C645B8" w:rsidRPr="0021002F" w:rsidRDefault="00C645B8" w:rsidP="00C645B8">
      <w:pPr>
        <w:rPr>
          <w:rFonts w:ascii="Verdana" w:hAnsi="Verdana" w:cs="Verdana"/>
          <w:lang w:val="en-GB"/>
        </w:rPr>
      </w:pPr>
      <w:r w:rsidRPr="0021002F">
        <w:rPr>
          <w:rFonts w:ascii="Verdana" w:hAnsi="Verdana" w:cs="Verdana"/>
          <w:lang w:val="en-GB"/>
        </w:rPr>
        <w:t xml:space="preserve">We saw in Chapter 3 that, in order to purchase the cheapest property </w:t>
      </w:r>
      <w:r w:rsidR="00FB312A" w:rsidRPr="0021002F">
        <w:rPr>
          <w:rFonts w:ascii="Verdana" w:hAnsi="Verdana" w:cs="Verdana"/>
          <w:lang w:val="en-GB"/>
        </w:rPr>
        <w:t xml:space="preserve">currently available for sale </w:t>
      </w:r>
      <w:r w:rsidRPr="0021002F">
        <w:rPr>
          <w:rFonts w:ascii="Verdana" w:hAnsi="Verdana" w:cs="Verdana"/>
          <w:lang w:val="en-GB"/>
        </w:rPr>
        <w:t xml:space="preserve">in </w:t>
      </w:r>
      <w:r w:rsidR="008631F6">
        <w:rPr>
          <w:rFonts w:ascii="Verdana" w:hAnsi="Verdana" w:cs="Verdana"/>
          <w:lang w:val="en-GB"/>
        </w:rPr>
        <w:t>Oakley</w:t>
      </w:r>
      <w:r w:rsidRPr="0021002F">
        <w:rPr>
          <w:rFonts w:ascii="Verdana" w:hAnsi="Verdana" w:cs="Verdana"/>
          <w:lang w:val="en-GB"/>
        </w:rPr>
        <w:t xml:space="preserve"> (</w:t>
      </w:r>
      <w:r w:rsidRPr="0021002F">
        <w:rPr>
          <w:rFonts w:ascii="Verdana" w:hAnsi="Verdana" w:cs="Verdana"/>
        </w:rPr>
        <w:t xml:space="preserve">a </w:t>
      </w:r>
      <w:r w:rsidR="008631F6">
        <w:rPr>
          <w:rFonts w:ascii="Verdana" w:hAnsi="Verdana" w:cs="Verdana"/>
        </w:rPr>
        <w:t>4</w:t>
      </w:r>
      <w:r w:rsidR="00FB312A" w:rsidRPr="0021002F">
        <w:rPr>
          <w:rFonts w:ascii="Verdana" w:hAnsi="Verdana" w:cs="Verdana"/>
        </w:rPr>
        <w:t xml:space="preserve"> bedroom </w:t>
      </w:r>
      <w:r w:rsidR="008631F6">
        <w:rPr>
          <w:rFonts w:ascii="Verdana" w:hAnsi="Verdana" w:cs="Verdana"/>
        </w:rPr>
        <w:t>house</w:t>
      </w:r>
      <w:r w:rsidRPr="0021002F">
        <w:rPr>
          <w:rFonts w:ascii="Verdana" w:hAnsi="Verdana" w:cs="Verdana"/>
        </w:rPr>
        <w:t xml:space="preserve"> at £</w:t>
      </w:r>
      <w:r w:rsidR="008631F6">
        <w:rPr>
          <w:rFonts w:ascii="Verdana" w:hAnsi="Verdana" w:cs="Verdana"/>
        </w:rPr>
        <w:t>295,000</w:t>
      </w:r>
      <w:r w:rsidRPr="0021002F">
        <w:rPr>
          <w:rFonts w:ascii="Verdana" w:hAnsi="Verdana" w:cs="Verdana"/>
          <w:lang w:val="en-GB"/>
        </w:rPr>
        <w:t>) as a first time buyer, a single earner household would need a</w:t>
      </w:r>
      <w:r w:rsidR="006471CF">
        <w:rPr>
          <w:rFonts w:ascii="Verdana" w:hAnsi="Verdana" w:cs="Verdana"/>
          <w:lang w:val="en-GB"/>
        </w:rPr>
        <w:t>n annual gross income of over £84</w:t>
      </w:r>
      <w:r w:rsidRPr="0021002F">
        <w:rPr>
          <w:rFonts w:ascii="Verdana" w:hAnsi="Verdana" w:cs="Verdana"/>
          <w:lang w:val="en-GB"/>
        </w:rPr>
        <w:t>,000, and a dual-inc</w:t>
      </w:r>
      <w:r w:rsidR="006471CF">
        <w:rPr>
          <w:rFonts w:ascii="Verdana" w:hAnsi="Verdana" w:cs="Verdana"/>
          <w:lang w:val="en-GB"/>
        </w:rPr>
        <w:t>ome household would need over £101</w:t>
      </w:r>
      <w:r w:rsidRPr="0021002F">
        <w:rPr>
          <w:rFonts w:ascii="Verdana" w:hAnsi="Verdana" w:cs="Verdana"/>
          <w:lang w:val="en-GB"/>
        </w:rPr>
        <w:t xml:space="preserve">,000.  To rent the </w:t>
      </w:r>
      <w:r w:rsidR="006471CF">
        <w:rPr>
          <w:rFonts w:ascii="Verdana" w:hAnsi="Verdana" w:cs="Verdana"/>
          <w:lang w:val="en-GB"/>
        </w:rPr>
        <w:t>only</w:t>
      </w:r>
      <w:r w:rsidRPr="0021002F">
        <w:rPr>
          <w:rFonts w:ascii="Verdana" w:hAnsi="Verdana" w:cs="Verdana"/>
          <w:lang w:val="en-GB"/>
        </w:rPr>
        <w:t xml:space="preserve"> property currently available (</w:t>
      </w:r>
      <w:r w:rsidR="00F97B4E" w:rsidRPr="0021002F">
        <w:rPr>
          <w:rFonts w:ascii="Verdana" w:hAnsi="Verdana" w:cs="Verdana"/>
          <w:lang w:val="en-GB"/>
        </w:rPr>
        <w:t>a 2</w:t>
      </w:r>
      <w:r w:rsidRPr="0021002F">
        <w:rPr>
          <w:rFonts w:ascii="Verdana" w:hAnsi="Verdana" w:cs="Verdana"/>
          <w:lang w:val="en-GB"/>
        </w:rPr>
        <w:t xml:space="preserve"> bedroom </w:t>
      </w:r>
      <w:r w:rsidR="006471CF">
        <w:rPr>
          <w:rFonts w:ascii="Verdana" w:hAnsi="Verdana" w:cs="Verdana"/>
          <w:lang w:val="en-GB"/>
        </w:rPr>
        <w:t>property</w:t>
      </w:r>
      <w:r w:rsidRPr="0021002F">
        <w:rPr>
          <w:rFonts w:ascii="Verdana" w:hAnsi="Verdana" w:cs="Verdana"/>
          <w:lang w:val="en-GB"/>
        </w:rPr>
        <w:t>)</w:t>
      </w:r>
      <w:r w:rsidR="00F97B4E" w:rsidRPr="0021002F">
        <w:rPr>
          <w:rFonts w:ascii="Verdana" w:hAnsi="Verdana" w:cs="Verdana"/>
          <w:lang w:val="en-GB"/>
        </w:rPr>
        <w:t xml:space="preserve"> households</w:t>
      </w:r>
      <w:r w:rsidRPr="0021002F">
        <w:rPr>
          <w:rFonts w:ascii="Verdana" w:hAnsi="Verdana" w:cs="Verdana"/>
          <w:lang w:val="en-GB"/>
        </w:rPr>
        <w:t xml:space="preserve"> would require an</w:t>
      </w:r>
      <w:r w:rsidR="00F97B4E" w:rsidRPr="0021002F">
        <w:rPr>
          <w:rFonts w:ascii="Verdana" w:hAnsi="Verdana" w:cs="Verdana"/>
          <w:lang w:val="en-GB"/>
        </w:rPr>
        <w:t xml:space="preserve"> annual gross income of o</w:t>
      </w:r>
      <w:r w:rsidR="006471CF">
        <w:rPr>
          <w:rFonts w:ascii="Verdana" w:hAnsi="Verdana" w:cs="Verdana"/>
          <w:lang w:val="en-GB"/>
        </w:rPr>
        <w:t>ver £42</w:t>
      </w:r>
      <w:r w:rsidRPr="0021002F">
        <w:rPr>
          <w:rFonts w:ascii="Verdana" w:hAnsi="Verdana" w:cs="Verdana"/>
          <w:lang w:val="en-GB"/>
        </w:rPr>
        <w:t xml:space="preserve">,000. </w:t>
      </w:r>
    </w:p>
    <w:p w:rsidR="00C645B8" w:rsidRPr="0021002F" w:rsidRDefault="00C645B8" w:rsidP="00C645B8">
      <w:pPr>
        <w:rPr>
          <w:rFonts w:ascii="Verdana" w:hAnsi="Verdana" w:cs="Verdana"/>
          <w:lang w:val="en-GB"/>
        </w:rPr>
      </w:pPr>
    </w:p>
    <w:p w:rsidR="00C645B8" w:rsidRPr="0021002F" w:rsidRDefault="00C645B8" w:rsidP="00C645B8">
      <w:pPr>
        <w:rPr>
          <w:rFonts w:ascii="Verdana" w:hAnsi="Verdana" w:cs="Verdana"/>
          <w:lang w:val="en-GB"/>
        </w:rPr>
      </w:pPr>
      <w:r w:rsidRPr="0021002F">
        <w:rPr>
          <w:rFonts w:ascii="Verdana" w:hAnsi="Verdana" w:cs="Verdana"/>
          <w:lang w:val="en-GB"/>
        </w:rPr>
        <w:t>The current gross annual income of anyone responsible for pa</w:t>
      </w:r>
      <w:r w:rsidR="00F97B4E" w:rsidRPr="0021002F">
        <w:rPr>
          <w:rFonts w:ascii="Verdana" w:hAnsi="Verdana" w:cs="Verdana"/>
          <w:lang w:val="en-GB"/>
        </w:rPr>
        <w:t>ying the rent/mortgage for the 26</w:t>
      </w:r>
      <w:r w:rsidRPr="0021002F">
        <w:rPr>
          <w:rFonts w:ascii="Verdana" w:hAnsi="Verdana" w:cs="Verdana"/>
          <w:lang w:val="en-GB"/>
        </w:rPr>
        <w:t xml:space="preserve"> households under analysis breaks down as follows:</w:t>
      </w:r>
    </w:p>
    <w:p w:rsidR="00C645B8" w:rsidRPr="0021002F" w:rsidRDefault="00C645B8" w:rsidP="00C645B8">
      <w:pPr>
        <w:rPr>
          <w:rFonts w:ascii="Verdana" w:hAnsi="Verdana" w:cs="Verdana"/>
          <w:b/>
          <w:bCs/>
          <w:lang w:val="en-GB"/>
        </w:rPr>
      </w:pPr>
    </w:p>
    <w:tbl>
      <w:tblPr>
        <w:tblW w:w="0" w:type="auto"/>
        <w:tblLayout w:type="fixed"/>
        <w:tblCellMar>
          <w:left w:w="180" w:type="dxa"/>
          <w:right w:w="180" w:type="dxa"/>
        </w:tblCellMar>
        <w:tblLook w:val="0000" w:firstRow="0" w:lastRow="0" w:firstColumn="0" w:lastColumn="0" w:noHBand="0" w:noVBand="0"/>
      </w:tblPr>
      <w:tblGrid>
        <w:gridCol w:w="6660"/>
        <w:gridCol w:w="3060"/>
      </w:tblGrid>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 xml:space="preserve">Current gross income </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Less than £20,000 / yr</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6471CF" w:rsidP="00EC5616">
            <w:pPr>
              <w:rPr>
                <w:rFonts w:ascii="Verdana" w:hAnsi="Verdana" w:cs="Verdana"/>
                <w:lang w:val="en-GB"/>
              </w:rPr>
            </w:pPr>
            <w:r>
              <w:rPr>
                <w:rFonts w:ascii="Verdana" w:hAnsi="Verdana" w:cs="Verdana"/>
                <w:lang w:val="en-GB"/>
              </w:rPr>
              <w:t>17</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£20,000 to £30,000 / yr</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6471CF" w:rsidP="00EC5616">
            <w:pPr>
              <w:rPr>
                <w:rFonts w:ascii="Verdana" w:hAnsi="Verdana" w:cs="Verdana"/>
                <w:lang w:val="en-GB"/>
              </w:rPr>
            </w:pPr>
            <w:r>
              <w:rPr>
                <w:rFonts w:ascii="Verdana" w:hAnsi="Verdana" w:cs="Verdana"/>
                <w:lang w:val="en-GB"/>
              </w:rPr>
              <w:t>9</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£30,000 to £40,000 / yr</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6471CF" w:rsidP="00EC5616">
            <w:pPr>
              <w:rPr>
                <w:rFonts w:ascii="Verdana" w:hAnsi="Verdana" w:cs="Verdana"/>
                <w:lang w:val="en-GB"/>
              </w:rPr>
            </w:pPr>
            <w:r>
              <w:rPr>
                <w:rFonts w:ascii="Verdana" w:hAnsi="Verdana" w:cs="Verdana"/>
                <w:lang w:val="en-GB"/>
              </w:rPr>
              <w:t>3</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More than £40,000 / yr</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6471CF" w:rsidP="00EC5616">
            <w:pPr>
              <w:rPr>
                <w:rFonts w:ascii="Verdana" w:hAnsi="Verdana" w:cs="Verdana"/>
                <w:lang w:val="en-GB"/>
              </w:rPr>
            </w:pPr>
            <w:r>
              <w:rPr>
                <w:rFonts w:ascii="Verdana" w:hAnsi="Verdana" w:cs="Verdana"/>
                <w:lang w:val="en-GB"/>
              </w:rPr>
              <w:t>2</w:t>
            </w:r>
          </w:p>
        </w:tc>
      </w:tr>
    </w:tbl>
    <w:p w:rsidR="00C645B8" w:rsidRPr="0021002F" w:rsidRDefault="00C645B8" w:rsidP="00C645B8">
      <w:pPr>
        <w:rPr>
          <w:rFonts w:ascii="Verdana" w:hAnsi="Verdana" w:cs="Verdana"/>
          <w:b/>
          <w:bCs/>
          <w:lang w:val="en-GB"/>
        </w:rPr>
      </w:pPr>
    </w:p>
    <w:p w:rsidR="00C645B8" w:rsidRPr="0021002F" w:rsidRDefault="00C645B8" w:rsidP="00C645B8">
      <w:pPr>
        <w:rPr>
          <w:rFonts w:ascii="Verdana" w:hAnsi="Verdana" w:cs="Verdana"/>
          <w:lang w:val="en-GB"/>
        </w:rPr>
      </w:pPr>
      <w:r w:rsidRPr="0021002F">
        <w:rPr>
          <w:rFonts w:ascii="Verdana" w:hAnsi="Verdana" w:cs="Verdana"/>
          <w:lang w:val="en-GB"/>
        </w:rPr>
        <w:t xml:space="preserve">Based on the data provided, </w:t>
      </w:r>
      <w:r w:rsidR="007820ED">
        <w:rPr>
          <w:rFonts w:ascii="Verdana" w:hAnsi="Verdana" w:cs="Verdana"/>
          <w:lang w:val="en-GB"/>
        </w:rPr>
        <w:t xml:space="preserve">at least </w:t>
      </w:r>
      <w:r w:rsidR="003009C7" w:rsidRPr="0021002F">
        <w:rPr>
          <w:rFonts w:ascii="Verdana" w:hAnsi="Verdana" w:cs="Verdana"/>
          <w:lang w:val="en-GB"/>
        </w:rPr>
        <w:t>2</w:t>
      </w:r>
      <w:r w:rsidR="006471CF">
        <w:rPr>
          <w:rFonts w:ascii="Verdana" w:hAnsi="Verdana" w:cs="Verdana"/>
          <w:lang w:val="en-GB"/>
        </w:rPr>
        <w:t>9</w:t>
      </w:r>
      <w:r w:rsidR="00822CBD">
        <w:rPr>
          <w:rFonts w:ascii="Verdana" w:hAnsi="Verdana" w:cs="Verdana"/>
          <w:lang w:val="en-GB"/>
        </w:rPr>
        <w:t xml:space="preserve"> of the 31</w:t>
      </w:r>
      <w:r w:rsidRPr="0021002F">
        <w:rPr>
          <w:rFonts w:ascii="Verdana" w:hAnsi="Verdana" w:cs="Verdana"/>
          <w:lang w:val="en-GB"/>
        </w:rPr>
        <w:t xml:space="preserve"> households could currently afford to purch</w:t>
      </w:r>
      <w:r w:rsidR="003009C7" w:rsidRPr="0021002F">
        <w:rPr>
          <w:rFonts w:ascii="Verdana" w:hAnsi="Verdana" w:cs="Verdana"/>
          <w:lang w:val="en-GB"/>
        </w:rPr>
        <w:t xml:space="preserve">ase on the open market in </w:t>
      </w:r>
      <w:r w:rsidR="00822CBD">
        <w:rPr>
          <w:rFonts w:ascii="Verdana" w:hAnsi="Verdana" w:cs="Verdana"/>
          <w:lang w:val="en-GB"/>
        </w:rPr>
        <w:t>Oakley</w:t>
      </w:r>
      <w:r w:rsidRPr="0021002F">
        <w:rPr>
          <w:rFonts w:ascii="Verdana" w:hAnsi="Verdana" w:cs="Verdana"/>
          <w:lang w:val="en-GB"/>
        </w:rPr>
        <w:t xml:space="preserve">. </w:t>
      </w:r>
    </w:p>
    <w:p w:rsidR="00C645B8" w:rsidRDefault="00C645B8" w:rsidP="00C645B8">
      <w:pPr>
        <w:rPr>
          <w:rFonts w:ascii="Verdana" w:hAnsi="Verdana" w:cs="Verdana"/>
          <w:b/>
          <w:bCs/>
          <w:sz w:val="22"/>
          <w:szCs w:val="22"/>
          <w:lang w:val="en-GB"/>
        </w:rPr>
      </w:pPr>
    </w:p>
    <w:p w:rsidR="00C645B8" w:rsidRPr="0021002F" w:rsidRDefault="00BA6CB3" w:rsidP="00C645B8">
      <w:pPr>
        <w:tabs>
          <w:tab w:val="left" w:pos="720"/>
        </w:tabs>
        <w:ind w:left="720" w:hanging="720"/>
        <w:rPr>
          <w:rFonts w:ascii="Verdana" w:hAnsi="Verdana" w:cs="Verdana"/>
          <w:b/>
          <w:bCs/>
          <w:lang w:val="en-GB"/>
        </w:rPr>
      </w:pPr>
      <w:r w:rsidRPr="007C1B71">
        <w:rPr>
          <w:rFonts w:ascii="Verdana" w:hAnsi="Verdana" w:cs="Verdana"/>
          <w:b/>
          <w:bCs/>
          <w:lang w:val="en-GB"/>
        </w:rPr>
        <w:t>6.8</w:t>
      </w:r>
      <w:r w:rsidR="00C645B8" w:rsidRPr="0021002F">
        <w:rPr>
          <w:rFonts w:ascii="Verdana" w:hAnsi="Verdana" w:cs="Verdana"/>
          <w:b/>
          <w:bCs/>
          <w:lang w:val="en-GB"/>
        </w:rPr>
        <w:tab/>
        <w:t>Savings or equity of households in need</w:t>
      </w:r>
    </w:p>
    <w:p w:rsidR="00C645B8" w:rsidRPr="0021002F" w:rsidRDefault="00C645B8" w:rsidP="00C645B8">
      <w:pPr>
        <w:rPr>
          <w:rFonts w:ascii="Verdana" w:hAnsi="Verdana" w:cs="Verdana"/>
          <w:lang w:val="en-GB"/>
        </w:rPr>
      </w:pPr>
    </w:p>
    <w:p w:rsidR="00C645B8" w:rsidRPr="0021002F" w:rsidRDefault="00C645B8" w:rsidP="003009C7">
      <w:pPr>
        <w:rPr>
          <w:rFonts w:ascii="Verdana" w:hAnsi="Verdana" w:cs="Verdana"/>
          <w:lang w:val="en-GB"/>
        </w:rPr>
      </w:pPr>
      <w:r w:rsidRPr="0021002F">
        <w:rPr>
          <w:rFonts w:ascii="Verdana" w:hAnsi="Verdana" w:cs="Verdana"/>
          <w:lang w:val="en-GB"/>
        </w:rPr>
        <w:t>As we saw in Chapter 3, the average deposit required for a first-time buyer to purchase the cheapest property</w:t>
      </w:r>
      <w:r w:rsidR="003009C7" w:rsidRPr="0021002F">
        <w:rPr>
          <w:rFonts w:ascii="Verdana" w:hAnsi="Verdana" w:cs="Verdana"/>
          <w:lang w:val="en-GB"/>
        </w:rPr>
        <w:t xml:space="preserve"> currently available</w:t>
      </w:r>
      <w:r w:rsidRPr="0021002F">
        <w:rPr>
          <w:rFonts w:ascii="Verdana" w:hAnsi="Verdana" w:cs="Verdana"/>
          <w:lang w:val="en-GB"/>
        </w:rPr>
        <w:t xml:space="preserve"> in </w:t>
      </w:r>
      <w:r w:rsidR="00822CBD">
        <w:rPr>
          <w:rFonts w:ascii="Verdana" w:hAnsi="Verdana" w:cs="Verdana"/>
          <w:lang w:val="en-GB"/>
        </w:rPr>
        <w:t>Oakley</w:t>
      </w:r>
      <w:r w:rsidR="003009C7" w:rsidRPr="0021002F">
        <w:rPr>
          <w:rFonts w:ascii="Verdana" w:hAnsi="Verdana" w:cs="Verdana"/>
          <w:lang w:val="en-GB"/>
        </w:rPr>
        <w:t xml:space="preserve"> </w:t>
      </w:r>
      <w:r w:rsidR="00822CBD">
        <w:rPr>
          <w:rFonts w:ascii="Verdana" w:hAnsi="Verdana" w:cs="Verdana"/>
          <w:lang w:val="en-GB"/>
        </w:rPr>
        <w:t>is £56</w:t>
      </w:r>
      <w:r w:rsidRPr="0021002F">
        <w:rPr>
          <w:rFonts w:ascii="Verdana" w:hAnsi="Verdana" w:cs="Verdana"/>
          <w:lang w:val="en-GB"/>
        </w:rPr>
        <w:t>,</w:t>
      </w:r>
      <w:r w:rsidR="00822CBD">
        <w:rPr>
          <w:rFonts w:ascii="Verdana" w:hAnsi="Verdana" w:cs="Verdana"/>
          <w:lang w:val="en-GB"/>
        </w:rPr>
        <w:t>0</w:t>
      </w:r>
      <w:r w:rsidRPr="0021002F">
        <w:rPr>
          <w:rFonts w:ascii="Verdana" w:hAnsi="Verdana" w:cs="Verdana"/>
          <w:lang w:val="en-GB"/>
        </w:rPr>
        <w:t>00. The minimum (under a 95% Loan t</w:t>
      </w:r>
      <w:r w:rsidR="003009C7" w:rsidRPr="0021002F">
        <w:rPr>
          <w:rFonts w:ascii="Verdana" w:hAnsi="Verdana" w:cs="Verdana"/>
          <w:lang w:val="en-GB"/>
        </w:rPr>
        <w:t>o Value deal) would be around £</w:t>
      </w:r>
      <w:r w:rsidR="00822CBD">
        <w:rPr>
          <w:rFonts w:ascii="Verdana" w:hAnsi="Verdana" w:cs="Verdana"/>
          <w:lang w:val="en-GB"/>
        </w:rPr>
        <w:t>14</w:t>
      </w:r>
      <w:r w:rsidRPr="0021002F">
        <w:rPr>
          <w:rFonts w:ascii="Verdana" w:hAnsi="Verdana" w:cs="Verdana"/>
          <w:lang w:val="en-GB"/>
        </w:rPr>
        <w:t>,</w:t>
      </w:r>
      <w:r w:rsidR="00822CBD">
        <w:rPr>
          <w:rFonts w:ascii="Verdana" w:hAnsi="Verdana" w:cs="Verdana"/>
          <w:lang w:val="en-GB"/>
        </w:rPr>
        <w:t>7</w:t>
      </w:r>
      <w:r w:rsidR="003009C7" w:rsidRPr="0021002F">
        <w:rPr>
          <w:rFonts w:ascii="Verdana" w:hAnsi="Verdana" w:cs="Verdana"/>
          <w:lang w:val="en-GB"/>
        </w:rPr>
        <w:t>5</w:t>
      </w:r>
      <w:r w:rsidRPr="0021002F">
        <w:rPr>
          <w:rFonts w:ascii="Verdana" w:hAnsi="Verdana" w:cs="Verdana"/>
          <w:lang w:val="en-GB"/>
        </w:rPr>
        <w:t xml:space="preserve">0.  </w:t>
      </w:r>
    </w:p>
    <w:p w:rsidR="00C645B8" w:rsidRPr="0021002F" w:rsidRDefault="00C645B8" w:rsidP="00C645B8">
      <w:pPr>
        <w:widowControl/>
        <w:overflowPunct/>
        <w:adjustRightInd/>
        <w:rPr>
          <w:rFonts w:ascii="Verdana" w:hAnsi="Verdana" w:cs="Verdana"/>
          <w:lang w:val="en-GB"/>
        </w:rPr>
      </w:pPr>
    </w:p>
    <w:p w:rsidR="00C645B8" w:rsidRPr="0021002F" w:rsidRDefault="00C645B8" w:rsidP="00C645B8">
      <w:pPr>
        <w:widowControl/>
        <w:overflowPunct/>
        <w:adjustRightInd/>
        <w:rPr>
          <w:rFonts w:ascii="Verdana" w:hAnsi="Verdana" w:cs="Verdana"/>
          <w:lang w:val="en-GB"/>
        </w:rPr>
      </w:pPr>
      <w:r w:rsidRPr="0021002F">
        <w:rPr>
          <w:rFonts w:ascii="Verdana" w:hAnsi="Verdana" w:cs="Verdana"/>
          <w:lang w:val="en-GB"/>
        </w:rPr>
        <w:t>The savin</w:t>
      </w:r>
      <w:r w:rsidR="00822CBD">
        <w:rPr>
          <w:rFonts w:ascii="Verdana" w:hAnsi="Verdana" w:cs="Verdana"/>
          <w:lang w:val="en-GB"/>
        </w:rPr>
        <w:t>gs or other equity that these 31</w:t>
      </w:r>
      <w:r w:rsidRPr="0021002F">
        <w:rPr>
          <w:rFonts w:ascii="Verdana" w:hAnsi="Verdana" w:cs="Verdana"/>
          <w:lang w:val="en-GB"/>
        </w:rPr>
        <w:t xml:space="preserve"> households could use to contribute towards a mortgage breaks down as follows:</w:t>
      </w:r>
    </w:p>
    <w:p w:rsidR="00C645B8" w:rsidRPr="0021002F" w:rsidRDefault="00C645B8" w:rsidP="00C645B8">
      <w:pPr>
        <w:rPr>
          <w:rFonts w:ascii="Verdana" w:hAnsi="Verdana" w:cs="Verdana"/>
          <w:b/>
          <w:bCs/>
          <w:lang w:val="en-GB"/>
        </w:rPr>
      </w:pPr>
    </w:p>
    <w:tbl>
      <w:tblPr>
        <w:tblW w:w="0" w:type="auto"/>
        <w:tblLayout w:type="fixed"/>
        <w:tblCellMar>
          <w:left w:w="180" w:type="dxa"/>
          <w:right w:w="180" w:type="dxa"/>
        </w:tblCellMar>
        <w:tblLook w:val="0000" w:firstRow="0" w:lastRow="0" w:firstColumn="0" w:lastColumn="0" w:noHBand="0" w:noVBand="0"/>
      </w:tblPr>
      <w:tblGrid>
        <w:gridCol w:w="6660"/>
        <w:gridCol w:w="3060"/>
      </w:tblGrid>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Savings/equity</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b/>
              </w:rPr>
            </w:pPr>
            <w:r w:rsidRPr="0021002F">
              <w:rPr>
                <w:rFonts w:ascii="Verdana" w:hAnsi="Verdana" w:cs="Arial"/>
              </w:rPr>
              <w:t>Below £25,000</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822CBD" w:rsidP="00EC5616">
            <w:pPr>
              <w:rPr>
                <w:rFonts w:ascii="Verdana" w:hAnsi="Verdana" w:cs="Verdana"/>
                <w:lang w:val="en-GB"/>
              </w:rPr>
            </w:pPr>
            <w:r>
              <w:rPr>
                <w:rFonts w:ascii="Verdana" w:hAnsi="Verdana" w:cs="Verdana"/>
                <w:lang w:val="en-GB"/>
              </w:rPr>
              <w:t>18</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b/>
              </w:rPr>
            </w:pPr>
            <w:r w:rsidRPr="0021002F">
              <w:rPr>
                <w:rFonts w:ascii="Verdana" w:hAnsi="Verdana" w:cs="Arial"/>
              </w:rPr>
              <w:t>£25,000 - £50,000</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822CBD" w:rsidP="00EC5616">
            <w:pPr>
              <w:rPr>
                <w:rFonts w:ascii="Verdana" w:hAnsi="Verdana" w:cs="Verdana"/>
                <w:lang w:val="en-GB"/>
              </w:rPr>
            </w:pPr>
            <w:r>
              <w:rPr>
                <w:rFonts w:ascii="Verdana" w:hAnsi="Verdana" w:cs="Verdana"/>
                <w:lang w:val="en-GB"/>
              </w:rPr>
              <w:t>2</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Above £50,000</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822CBD" w:rsidP="00EC5616">
            <w:pPr>
              <w:rPr>
                <w:rFonts w:ascii="Verdana" w:hAnsi="Verdana" w:cs="Verdana"/>
                <w:lang w:val="en-GB"/>
              </w:rPr>
            </w:pPr>
            <w:r>
              <w:rPr>
                <w:rFonts w:ascii="Verdana" w:hAnsi="Verdana" w:cs="Verdana"/>
                <w:lang w:val="en-GB"/>
              </w:rPr>
              <w:t>0</w:t>
            </w:r>
          </w:p>
        </w:tc>
      </w:tr>
      <w:tr w:rsidR="00C645B8" w:rsidRPr="0021002F" w:rsidTr="00EC5616">
        <w:tc>
          <w:tcPr>
            <w:tcW w:w="6660"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Arial"/>
              </w:rPr>
            </w:pPr>
            <w:r w:rsidRPr="0021002F">
              <w:rPr>
                <w:rFonts w:ascii="Verdana" w:hAnsi="Verdana" w:cs="Arial"/>
              </w:rPr>
              <w:t>No response</w:t>
            </w:r>
          </w:p>
        </w:tc>
        <w:tc>
          <w:tcPr>
            <w:tcW w:w="3060" w:type="dxa"/>
            <w:tcBorders>
              <w:top w:val="single" w:sz="8" w:space="0" w:color="auto"/>
              <w:left w:val="single" w:sz="8" w:space="0" w:color="auto"/>
              <w:bottom w:val="single" w:sz="8" w:space="0" w:color="auto"/>
              <w:right w:val="single" w:sz="8" w:space="0" w:color="auto"/>
            </w:tcBorders>
          </w:tcPr>
          <w:p w:rsidR="00C645B8" w:rsidRPr="0021002F" w:rsidRDefault="00822CBD" w:rsidP="00EC5616">
            <w:pPr>
              <w:rPr>
                <w:rFonts w:ascii="Verdana" w:hAnsi="Verdana" w:cs="Verdana"/>
                <w:lang w:val="en-GB"/>
              </w:rPr>
            </w:pPr>
            <w:r>
              <w:rPr>
                <w:rFonts w:ascii="Verdana" w:hAnsi="Verdana" w:cs="Verdana"/>
                <w:lang w:val="en-GB"/>
              </w:rPr>
              <w:t>11</w:t>
            </w:r>
          </w:p>
        </w:tc>
      </w:tr>
    </w:tbl>
    <w:p w:rsidR="00C645B8" w:rsidRPr="0021002F" w:rsidRDefault="00C645B8" w:rsidP="00C645B8">
      <w:pPr>
        <w:rPr>
          <w:rFonts w:ascii="Verdana" w:hAnsi="Verdana" w:cs="Verdana"/>
          <w:b/>
          <w:bCs/>
          <w:lang w:val="en-GB"/>
        </w:rPr>
      </w:pPr>
    </w:p>
    <w:p w:rsidR="00C645B8" w:rsidRPr="0021002F" w:rsidRDefault="002052E7" w:rsidP="00C645B8">
      <w:pPr>
        <w:rPr>
          <w:rFonts w:ascii="Verdana" w:hAnsi="Verdana" w:cs="Verdana"/>
          <w:lang w:val="en-GB"/>
        </w:rPr>
      </w:pPr>
      <w:r w:rsidRPr="0021002F">
        <w:rPr>
          <w:rFonts w:ascii="Verdana" w:hAnsi="Verdana" w:cs="Verdana"/>
          <w:lang w:val="en-GB"/>
        </w:rPr>
        <w:t xml:space="preserve">None of the </w:t>
      </w:r>
      <w:r w:rsidR="00C645B8" w:rsidRPr="0021002F">
        <w:rPr>
          <w:rFonts w:ascii="Verdana" w:hAnsi="Verdana" w:cs="Verdana"/>
          <w:lang w:val="en-GB"/>
        </w:rPr>
        <w:t>respondents</w:t>
      </w:r>
      <w:r w:rsidR="0021002F">
        <w:rPr>
          <w:rFonts w:ascii="Verdana" w:hAnsi="Verdana" w:cs="Verdana"/>
          <w:lang w:val="en-GB"/>
        </w:rPr>
        <w:t xml:space="preserve"> who provided their financial information would</w:t>
      </w:r>
      <w:r w:rsidR="00C645B8" w:rsidRPr="0021002F">
        <w:rPr>
          <w:rFonts w:ascii="Verdana" w:hAnsi="Verdana" w:cs="Verdana"/>
          <w:lang w:val="en-GB"/>
        </w:rPr>
        <w:t xml:space="preserve"> have enough savings or equity currently to buy a property on the open market as a first time buyer, except at high Loan to Value. </w:t>
      </w:r>
    </w:p>
    <w:p w:rsidR="00C645B8" w:rsidRPr="0021002F" w:rsidRDefault="00C645B8" w:rsidP="00C645B8">
      <w:pPr>
        <w:rPr>
          <w:rFonts w:ascii="Verdana" w:hAnsi="Verdana" w:cs="Verdana"/>
          <w:lang w:val="en-GB"/>
        </w:rPr>
      </w:pPr>
    </w:p>
    <w:p w:rsidR="00822CBD" w:rsidRDefault="00822CBD" w:rsidP="00C645B8">
      <w:pPr>
        <w:rPr>
          <w:rFonts w:ascii="Verdana" w:hAnsi="Verdana" w:cs="Verdana"/>
          <w:b/>
          <w:bCs/>
          <w:lang w:val="en-GB"/>
        </w:rPr>
      </w:pPr>
    </w:p>
    <w:p w:rsidR="00822CBD" w:rsidRDefault="00822CBD" w:rsidP="00C645B8">
      <w:pPr>
        <w:rPr>
          <w:rFonts w:ascii="Verdana" w:hAnsi="Verdana" w:cs="Verdana"/>
          <w:b/>
          <w:bCs/>
          <w:lang w:val="en-GB"/>
        </w:rPr>
      </w:pPr>
    </w:p>
    <w:p w:rsidR="00C645B8" w:rsidRPr="00201E4E" w:rsidRDefault="00C645B8" w:rsidP="00C645B8">
      <w:pPr>
        <w:rPr>
          <w:rFonts w:ascii="Verdana" w:hAnsi="Verdana" w:cs="Verdana"/>
          <w:b/>
          <w:bCs/>
          <w:lang w:val="en-GB"/>
        </w:rPr>
      </w:pPr>
      <w:r w:rsidRPr="00833C5B">
        <w:rPr>
          <w:rFonts w:ascii="Verdana" w:hAnsi="Verdana" w:cs="Verdana"/>
          <w:b/>
          <w:bCs/>
          <w:lang w:val="en-GB"/>
        </w:rPr>
        <w:lastRenderedPageBreak/>
        <w:t>7.</w:t>
      </w:r>
      <w:r w:rsidRPr="00201E4E">
        <w:rPr>
          <w:rFonts w:ascii="Verdana" w:hAnsi="Verdana" w:cs="Verdana"/>
          <w:b/>
          <w:bCs/>
          <w:lang w:val="en-GB"/>
        </w:rPr>
        <w:t xml:space="preserve"> </w:t>
      </w:r>
      <w:r w:rsidRPr="00201E4E">
        <w:rPr>
          <w:rFonts w:ascii="Verdana" w:hAnsi="Verdana" w:cs="Verdana"/>
          <w:b/>
          <w:bCs/>
          <w:lang w:val="en-GB"/>
        </w:rPr>
        <w:tab/>
        <w:t>Analysis of need – market housing</w:t>
      </w:r>
    </w:p>
    <w:p w:rsidR="00C645B8" w:rsidRPr="00201E4E" w:rsidRDefault="00C645B8" w:rsidP="00C645B8">
      <w:pPr>
        <w:rPr>
          <w:rFonts w:ascii="Verdana" w:hAnsi="Verdana" w:cs="Verdana"/>
          <w:b/>
          <w:bCs/>
          <w:lang w:val="en-GB"/>
        </w:rPr>
      </w:pPr>
    </w:p>
    <w:p w:rsidR="00C645B8" w:rsidRPr="0021002F" w:rsidRDefault="00C645B8" w:rsidP="00C645B8">
      <w:pPr>
        <w:rPr>
          <w:rFonts w:ascii="Verdana" w:hAnsi="Verdana" w:cs="Verdana"/>
          <w:lang w:val="en-GB"/>
        </w:rPr>
      </w:pPr>
      <w:r w:rsidRPr="0021002F">
        <w:rPr>
          <w:rFonts w:ascii="Verdana" w:hAnsi="Verdana" w:cs="Verdana"/>
          <w:lang w:val="en-GB"/>
        </w:rPr>
        <w:t xml:space="preserve">Chapter 7 will consider the </w:t>
      </w:r>
      <w:r w:rsidR="007C1B71">
        <w:rPr>
          <w:rFonts w:ascii="Verdana" w:hAnsi="Verdana" w:cs="Verdana"/>
          <w:lang w:val="en-GB"/>
        </w:rPr>
        <w:t>60</w:t>
      </w:r>
      <w:r w:rsidRPr="0021002F">
        <w:rPr>
          <w:rFonts w:ascii="Verdana" w:hAnsi="Verdana" w:cs="Verdana"/>
          <w:lang w:val="en-GB"/>
        </w:rPr>
        <w:t xml:space="preserve"> owner occupier households (mentioned in chapter 6) looking to purchase housing on the open market </w:t>
      </w:r>
      <w:r w:rsidR="0021002F">
        <w:rPr>
          <w:rFonts w:ascii="Verdana" w:hAnsi="Verdana" w:cs="Verdana"/>
          <w:lang w:val="en-GB"/>
        </w:rPr>
        <w:t xml:space="preserve">in </w:t>
      </w:r>
      <w:r w:rsidR="007C1B71">
        <w:rPr>
          <w:rFonts w:ascii="Verdana" w:hAnsi="Verdana" w:cs="Verdana"/>
          <w:lang w:val="en-GB"/>
        </w:rPr>
        <w:t>Oakley</w:t>
      </w:r>
      <w:r w:rsidR="00157581">
        <w:rPr>
          <w:rFonts w:ascii="Verdana" w:hAnsi="Verdana" w:cs="Verdana"/>
          <w:lang w:val="en-GB"/>
        </w:rPr>
        <w:t xml:space="preserve"> over the next 10</w:t>
      </w:r>
      <w:r w:rsidRPr="0021002F">
        <w:rPr>
          <w:rFonts w:ascii="Verdana" w:hAnsi="Verdana" w:cs="Verdana"/>
          <w:lang w:val="en-GB"/>
        </w:rPr>
        <w:t xml:space="preserve"> years.</w:t>
      </w:r>
      <w:r w:rsidR="002B42BD" w:rsidRPr="0021002F">
        <w:rPr>
          <w:rFonts w:ascii="Verdana" w:hAnsi="Verdana" w:cs="Verdana"/>
          <w:lang w:val="en-GB"/>
        </w:rPr>
        <w:t xml:space="preserve"> Included within these </w:t>
      </w:r>
      <w:r w:rsidR="007C1B71">
        <w:rPr>
          <w:rFonts w:ascii="Verdana" w:hAnsi="Verdana" w:cs="Verdana"/>
          <w:lang w:val="en-GB"/>
        </w:rPr>
        <w:t>60</w:t>
      </w:r>
      <w:r w:rsidR="002B42BD" w:rsidRPr="0021002F">
        <w:rPr>
          <w:rFonts w:ascii="Verdana" w:hAnsi="Verdana" w:cs="Verdana"/>
          <w:lang w:val="en-GB"/>
        </w:rPr>
        <w:t xml:space="preserve"> respondents are </w:t>
      </w:r>
      <w:r w:rsidR="007C1B71">
        <w:rPr>
          <w:rFonts w:ascii="Verdana" w:hAnsi="Verdana" w:cs="Verdana"/>
          <w:lang w:val="en-GB"/>
        </w:rPr>
        <w:t>4</w:t>
      </w:r>
      <w:r w:rsidR="002B42BD" w:rsidRPr="0021002F">
        <w:rPr>
          <w:rFonts w:ascii="Verdana" w:hAnsi="Verdana" w:cs="Verdana"/>
          <w:lang w:val="en-GB"/>
        </w:rPr>
        <w:t xml:space="preserve"> respondents who would be first time buyers but they have stated a preference to purchase on the open market and would have the means to do so.  </w:t>
      </w:r>
    </w:p>
    <w:p w:rsidR="00C645B8" w:rsidRPr="00201E4E" w:rsidRDefault="00C645B8" w:rsidP="00C645B8">
      <w:pPr>
        <w:rPr>
          <w:rFonts w:ascii="Verdana" w:hAnsi="Verdana" w:cs="Verdana"/>
          <w:sz w:val="22"/>
          <w:szCs w:val="22"/>
          <w:lang w:val="en-GB"/>
        </w:rPr>
      </w:pPr>
    </w:p>
    <w:p w:rsidR="0021002F" w:rsidRDefault="0021002F" w:rsidP="00C645B8">
      <w:pPr>
        <w:rPr>
          <w:rFonts w:ascii="Verdana" w:hAnsi="Verdana" w:cs="Verdana"/>
          <w:b/>
          <w:bCs/>
          <w:lang w:val="en-GB"/>
        </w:rPr>
      </w:pPr>
    </w:p>
    <w:p w:rsidR="00C645B8" w:rsidRPr="0021002F" w:rsidRDefault="00C645B8" w:rsidP="00C645B8">
      <w:pPr>
        <w:rPr>
          <w:rFonts w:ascii="Verdana" w:hAnsi="Verdana" w:cs="Verdana"/>
          <w:b/>
          <w:bCs/>
          <w:lang w:val="en-GB"/>
        </w:rPr>
      </w:pPr>
      <w:r w:rsidRPr="0021002F">
        <w:rPr>
          <w:rFonts w:ascii="Verdana" w:hAnsi="Verdana" w:cs="Verdana"/>
          <w:b/>
          <w:bCs/>
          <w:lang w:val="en-GB"/>
        </w:rPr>
        <w:t>7.1</w:t>
      </w:r>
      <w:r w:rsidRPr="0021002F">
        <w:rPr>
          <w:rFonts w:ascii="Verdana" w:hAnsi="Verdana" w:cs="Verdana"/>
          <w:b/>
          <w:bCs/>
          <w:lang w:val="en-GB"/>
        </w:rPr>
        <w:tab/>
        <w:t xml:space="preserve">Household composition </w:t>
      </w:r>
    </w:p>
    <w:p w:rsidR="00C645B8" w:rsidRPr="0021002F" w:rsidRDefault="00C645B8" w:rsidP="00C645B8">
      <w:pPr>
        <w:rPr>
          <w:rFonts w:ascii="Verdana" w:hAnsi="Verdana" w:cs="Verdana"/>
          <w:b/>
          <w:bCs/>
          <w:lang w:val="en-GB"/>
        </w:rPr>
      </w:pPr>
    </w:p>
    <w:p w:rsidR="00C645B8" w:rsidRPr="0021002F" w:rsidRDefault="00C645B8" w:rsidP="00C645B8">
      <w:pPr>
        <w:rPr>
          <w:rFonts w:ascii="Verdana" w:hAnsi="Verdana" w:cs="Verdana"/>
          <w:bCs/>
          <w:lang w:val="en-GB"/>
        </w:rPr>
      </w:pPr>
      <w:r w:rsidRPr="0021002F">
        <w:rPr>
          <w:rFonts w:ascii="Verdana" w:hAnsi="Verdana" w:cs="Verdana"/>
          <w:bCs/>
          <w:lang w:val="en-GB"/>
        </w:rPr>
        <w:t>Respondents were asked (Q</w:t>
      </w:r>
      <w:r w:rsidR="002B42BD" w:rsidRPr="0021002F">
        <w:rPr>
          <w:rFonts w:ascii="Verdana" w:hAnsi="Verdana" w:cs="Verdana"/>
          <w:bCs/>
          <w:lang w:val="en-GB"/>
        </w:rPr>
        <w:t>10</w:t>
      </w:r>
      <w:r w:rsidRPr="0021002F">
        <w:rPr>
          <w:rFonts w:ascii="Verdana" w:hAnsi="Verdana" w:cs="Verdana"/>
          <w:bCs/>
          <w:lang w:val="en-GB"/>
        </w:rPr>
        <w:t>) which of a number of situations best described them:</w:t>
      </w:r>
    </w:p>
    <w:p w:rsidR="00C645B8" w:rsidRPr="0021002F" w:rsidRDefault="00C645B8" w:rsidP="00C645B8">
      <w:pPr>
        <w:rPr>
          <w:rFonts w:ascii="Verdana" w:hAnsi="Verdana" w:cs="Verdana"/>
          <w:b/>
          <w:bCs/>
          <w:lang w:val="en-GB"/>
        </w:rPr>
      </w:pPr>
    </w:p>
    <w:tbl>
      <w:tblPr>
        <w:tblW w:w="10007" w:type="dxa"/>
        <w:tblLayout w:type="fixed"/>
        <w:tblCellMar>
          <w:left w:w="180" w:type="dxa"/>
          <w:right w:w="180" w:type="dxa"/>
        </w:tblCellMar>
        <w:tblLook w:val="0000" w:firstRow="0" w:lastRow="0" w:firstColumn="0" w:lastColumn="0" w:noHBand="0" w:noVBand="0"/>
      </w:tblPr>
      <w:tblGrid>
        <w:gridCol w:w="6984"/>
        <w:gridCol w:w="3023"/>
      </w:tblGrid>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rPr>
                <w:rFonts w:ascii="Verdana" w:hAnsi="Verdana" w:cs="Verdana"/>
                <w:lang w:val="en-GB"/>
              </w:rPr>
            </w:pPr>
            <w:r w:rsidRPr="0021002F">
              <w:rPr>
                <w:rFonts w:ascii="Verdana" w:hAnsi="Verdana" w:cs="Verdana"/>
                <w:b/>
                <w:bCs/>
                <w:lang w:val="en-GB"/>
              </w:rPr>
              <w:t>Situation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C645B8" w:rsidP="00EC5616">
            <w:pPr>
              <w:rPr>
                <w:rFonts w:ascii="Verdana" w:hAnsi="Verdana" w:cs="Verdana"/>
                <w:lang w:val="en-GB"/>
              </w:rPr>
            </w:pPr>
            <w:r w:rsidRPr="0021002F">
              <w:rPr>
                <w:rFonts w:ascii="Verdana" w:hAnsi="Verdana" w:cs="Verdana"/>
                <w:b/>
                <w:bCs/>
                <w:lang w:val="en-GB"/>
              </w:rPr>
              <w:t>No. of households</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 young single person/couple without dependent children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157581" w:rsidP="00EC5616">
            <w:pPr>
              <w:rPr>
                <w:rFonts w:ascii="Verdana" w:hAnsi="Verdana" w:cs="Verdana"/>
                <w:lang w:val="en-GB"/>
              </w:rPr>
            </w:pPr>
            <w:r>
              <w:rPr>
                <w:rFonts w:ascii="Verdana" w:hAnsi="Verdana" w:cs="Verdana"/>
                <w:lang w:val="en-GB"/>
              </w:rPr>
              <w:t>5</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 family with dependent child(ren) or other dependent(s)</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157581" w:rsidP="00EC5616">
            <w:pPr>
              <w:rPr>
                <w:rFonts w:ascii="Verdana" w:hAnsi="Verdana" w:cs="Verdana"/>
                <w:lang w:val="en-GB"/>
              </w:rPr>
            </w:pPr>
            <w:r>
              <w:rPr>
                <w:rFonts w:ascii="Verdana" w:hAnsi="Verdana" w:cs="Verdana"/>
                <w:lang w:val="en-GB"/>
              </w:rPr>
              <w:t>17</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An older single person / couple without dependent children</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157581" w:rsidP="00EC5616">
            <w:pPr>
              <w:rPr>
                <w:rFonts w:ascii="Verdana" w:hAnsi="Verdana" w:cs="Verdana"/>
                <w:lang w:val="en-GB"/>
              </w:rPr>
            </w:pPr>
            <w:r>
              <w:rPr>
                <w:rFonts w:ascii="Verdana" w:hAnsi="Verdana" w:cs="Verdana"/>
                <w:lang w:val="en-GB"/>
              </w:rPr>
              <w:t>36</w:t>
            </w:r>
          </w:p>
        </w:tc>
      </w:tr>
      <w:tr w:rsidR="00C645B8" w:rsidRPr="0021002F" w:rsidTr="00EC5616">
        <w:tc>
          <w:tcPr>
            <w:tcW w:w="6984" w:type="dxa"/>
            <w:tcBorders>
              <w:top w:val="single" w:sz="8" w:space="0" w:color="auto"/>
              <w:left w:val="single" w:sz="8" w:space="0" w:color="auto"/>
              <w:bottom w:val="single" w:sz="8" w:space="0" w:color="auto"/>
              <w:right w:val="nil"/>
            </w:tcBorders>
          </w:tcPr>
          <w:p w:rsidR="00C645B8" w:rsidRPr="0021002F" w:rsidRDefault="00C645B8" w:rsidP="00EC5616">
            <w:pPr>
              <w:ind w:right="54"/>
              <w:rPr>
                <w:rFonts w:ascii="Verdana" w:hAnsi="Verdana" w:cs="Verdana"/>
                <w:lang w:val="en-GB"/>
              </w:rPr>
            </w:pPr>
            <w:r w:rsidRPr="0021002F">
              <w:rPr>
                <w:rFonts w:ascii="Verdana" w:hAnsi="Verdana" w:cs="Verdana"/>
                <w:lang w:val="en-GB"/>
              </w:rPr>
              <w:t xml:space="preserve">Other </w:t>
            </w:r>
          </w:p>
        </w:tc>
        <w:tc>
          <w:tcPr>
            <w:tcW w:w="3023" w:type="dxa"/>
            <w:tcBorders>
              <w:top w:val="single" w:sz="8" w:space="0" w:color="auto"/>
              <w:left w:val="single" w:sz="8" w:space="0" w:color="auto"/>
              <w:bottom w:val="single" w:sz="8" w:space="0" w:color="auto"/>
              <w:right w:val="single" w:sz="8" w:space="0" w:color="auto"/>
            </w:tcBorders>
          </w:tcPr>
          <w:p w:rsidR="00C645B8" w:rsidRPr="0021002F" w:rsidRDefault="00157581" w:rsidP="00EC5616">
            <w:pPr>
              <w:rPr>
                <w:rFonts w:ascii="Verdana" w:hAnsi="Verdana" w:cs="Verdana"/>
                <w:lang w:val="en-GB"/>
              </w:rPr>
            </w:pPr>
            <w:r>
              <w:rPr>
                <w:rFonts w:ascii="Verdana" w:hAnsi="Verdana" w:cs="Verdana"/>
                <w:lang w:val="en-GB"/>
              </w:rPr>
              <w:t>2</w:t>
            </w:r>
          </w:p>
        </w:tc>
      </w:tr>
    </w:tbl>
    <w:p w:rsidR="00C645B8" w:rsidRDefault="00C645B8" w:rsidP="00C645B8">
      <w:pPr>
        <w:rPr>
          <w:rFonts w:ascii="Verdana" w:hAnsi="Verdana" w:cs="Verdana"/>
          <w:b/>
          <w:bCs/>
          <w:sz w:val="22"/>
          <w:szCs w:val="22"/>
          <w:lang w:val="en-GB"/>
        </w:rPr>
      </w:pPr>
    </w:p>
    <w:p w:rsidR="00C645B8" w:rsidRPr="00651EB2" w:rsidRDefault="00C645B8" w:rsidP="00C645B8">
      <w:pPr>
        <w:rPr>
          <w:rFonts w:ascii="Verdana" w:hAnsi="Verdana" w:cs="Verdana"/>
          <w:b/>
          <w:bCs/>
          <w:lang w:val="en-GB"/>
        </w:rPr>
      </w:pPr>
      <w:r w:rsidRPr="00651EB2">
        <w:rPr>
          <w:rFonts w:ascii="Verdana" w:hAnsi="Verdana" w:cs="Verdana"/>
          <w:b/>
          <w:bCs/>
          <w:lang w:val="en-GB"/>
        </w:rPr>
        <w:t>7.2</w:t>
      </w:r>
      <w:r w:rsidRPr="00651EB2">
        <w:rPr>
          <w:rFonts w:ascii="Verdana" w:hAnsi="Verdana" w:cs="Verdana"/>
          <w:b/>
          <w:bCs/>
          <w:lang w:val="en-GB"/>
        </w:rPr>
        <w:tab/>
        <w:t>Sizes and types of house required</w:t>
      </w:r>
    </w:p>
    <w:p w:rsidR="00C645B8" w:rsidRPr="00651EB2" w:rsidRDefault="00C645B8" w:rsidP="00C645B8">
      <w:pPr>
        <w:ind w:left="360"/>
        <w:rPr>
          <w:rFonts w:ascii="Verdana" w:hAnsi="Verdana" w:cs="Verdana"/>
          <w:b/>
          <w:bCs/>
          <w:lang w:val="en-GB"/>
        </w:rPr>
      </w:pPr>
    </w:p>
    <w:p w:rsidR="00C645B8" w:rsidRPr="00651EB2" w:rsidRDefault="00C645B8" w:rsidP="00C645B8">
      <w:pPr>
        <w:rPr>
          <w:rFonts w:ascii="Verdana" w:hAnsi="Verdana" w:cs="Verdana"/>
          <w:bCs/>
          <w:lang w:val="en-GB"/>
        </w:rPr>
      </w:pPr>
      <w:r w:rsidRPr="00651EB2">
        <w:rPr>
          <w:rFonts w:ascii="Verdana" w:hAnsi="Verdana" w:cs="Verdana"/>
          <w:lang w:val="en-GB"/>
        </w:rPr>
        <w:t xml:space="preserve">The preferred future housing type of the </w:t>
      </w:r>
      <w:r w:rsidR="00157581">
        <w:rPr>
          <w:rFonts w:ascii="Verdana" w:hAnsi="Verdana" w:cs="Verdana"/>
          <w:lang w:val="en-GB"/>
        </w:rPr>
        <w:t>60</w:t>
      </w:r>
      <w:r w:rsidRPr="00651EB2">
        <w:rPr>
          <w:rFonts w:ascii="Verdana" w:hAnsi="Verdana" w:cs="Verdana"/>
          <w:lang w:val="en-GB"/>
        </w:rPr>
        <w:t xml:space="preserve"> respondents (Q</w:t>
      </w:r>
      <w:r w:rsidR="00CC6DBE" w:rsidRPr="00651EB2">
        <w:rPr>
          <w:rFonts w:ascii="Verdana" w:hAnsi="Verdana" w:cs="Verdana"/>
          <w:lang w:val="en-GB"/>
        </w:rPr>
        <w:t>8</w:t>
      </w:r>
      <w:r w:rsidRPr="00651EB2">
        <w:rPr>
          <w:rFonts w:ascii="Verdana" w:hAnsi="Verdana" w:cs="Verdana"/>
          <w:lang w:val="en-GB"/>
        </w:rPr>
        <w:t>) breaks down as follows (respondents could tick more than one):</w:t>
      </w:r>
    </w:p>
    <w:p w:rsidR="00C645B8" w:rsidRPr="00651EB2" w:rsidRDefault="00C645B8" w:rsidP="00C645B8">
      <w:pPr>
        <w:ind w:left="360"/>
        <w:rPr>
          <w:rFonts w:ascii="Verdana" w:hAnsi="Verdana" w:cs="Verdana"/>
          <w:b/>
          <w:bCs/>
          <w:lang w:val="en-GB"/>
        </w:rPr>
      </w:pPr>
    </w:p>
    <w:tbl>
      <w:tblPr>
        <w:tblW w:w="9961" w:type="dxa"/>
        <w:tblLayout w:type="fixed"/>
        <w:tblCellMar>
          <w:left w:w="180" w:type="dxa"/>
          <w:right w:w="180" w:type="dxa"/>
        </w:tblCellMar>
        <w:tblLook w:val="0000" w:firstRow="0" w:lastRow="0" w:firstColumn="0" w:lastColumn="0" w:noHBand="0" w:noVBand="0"/>
      </w:tblPr>
      <w:tblGrid>
        <w:gridCol w:w="7126"/>
        <w:gridCol w:w="2835"/>
      </w:tblGrid>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
                <w:bCs/>
                <w:lang w:val="en-GB"/>
              </w:rPr>
              <w:t xml:space="preserve">Housing type </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C645B8" w:rsidP="00EC5616">
            <w:pPr>
              <w:rPr>
                <w:rFonts w:ascii="Verdana" w:hAnsi="Verdana" w:cs="Verdana"/>
                <w:b/>
                <w:bCs/>
                <w:lang w:val="en-GB"/>
              </w:rPr>
            </w:pPr>
            <w:r w:rsidRPr="00651EB2">
              <w:rPr>
                <w:rFonts w:ascii="Verdana" w:hAnsi="Verdana" w:cs="Verdana"/>
                <w:b/>
                <w:bCs/>
                <w:lang w:val="en-GB"/>
              </w:rPr>
              <w:t>Number</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Cs/>
                <w:lang w:val="en-GB"/>
              </w:rPr>
              <w:t xml:space="preserve">Flat </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4</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Cs/>
                <w:lang w:val="en-GB"/>
              </w:rPr>
              <w:t xml:space="preserve">House </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24</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Cs/>
                <w:lang w:val="en-GB"/>
              </w:rPr>
              <w:t>Bungalow / retirement housing</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38</w:t>
            </w:r>
          </w:p>
        </w:tc>
      </w:tr>
    </w:tbl>
    <w:p w:rsidR="00C645B8" w:rsidRPr="00651EB2" w:rsidRDefault="00C645B8" w:rsidP="00C645B8">
      <w:pPr>
        <w:rPr>
          <w:rFonts w:ascii="Verdana" w:hAnsi="Verdana" w:cs="Verdana"/>
          <w:lang w:val="en-GB"/>
        </w:rPr>
      </w:pPr>
    </w:p>
    <w:p w:rsidR="00C645B8" w:rsidRPr="00651EB2" w:rsidRDefault="00C645B8" w:rsidP="00C645B8">
      <w:pPr>
        <w:overflowPunct/>
        <w:autoSpaceDE w:val="0"/>
        <w:autoSpaceDN w:val="0"/>
        <w:rPr>
          <w:rFonts w:ascii="Verdana" w:hAnsi="Verdana" w:cs="Verdana"/>
          <w:bCs/>
          <w:lang w:val="en-GB"/>
        </w:rPr>
      </w:pPr>
      <w:r w:rsidRPr="00651EB2">
        <w:rPr>
          <w:rFonts w:ascii="Verdana" w:hAnsi="Verdana" w:cs="Verdana"/>
          <w:bCs/>
          <w:lang w:val="en-GB"/>
        </w:rPr>
        <w:t>Based on these figures, there appears to be a significant demand for bungalows / retirement housing.</w:t>
      </w:r>
    </w:p>
    <w:p w:rsidR="00C645B8" w:rsidRPr="00651EB2" w:rsidRDefault="00C645B8" w:rsidP="00C645B8">
      <w:pPr>
        <w:rPr>
          <w:rFonts w:ascii="Verdana" w:hAnsi="Verdana" w:cs="Verdana"/>
          <w:lang w:val="en-GB"/>
        </w:rPr>
      </w:pPr>
    </w:p>
    <w:p w:rsidR="00C645B8" w:rsidRPr="00651EB2" w:rsidRDefault="00C645B8" w:rsidP="00C645B8">
      <w:pPr>
        <w:rPr>
          <w:rFonts w:ascii="Verdana" w:hAnsi="Verdana" w:cs="Verdana"/>
          <w:bCs/>
          <w:lang w:val="en-GB"/>
        </w:rPr>
      </w:pPr>
      <w:r w:rsidRPr="00651EB2">
        <w:rPr>
          <w:rFonts w:ascii="Verdana" w:hAnsi="Verdana" w:cs="Verdana"/>
          <w:lang w:val="en-GB"/>
        </w:rPr>
        <w:t xml:space="preserve">The preferred future house size of the </w:t>
      </w:r>
      <w:r w:rsidR="001415D3">
        <w:rPr>
          <w:rFonts w:ascii="Verdana" w:hAnsi="Verdana" w:cs="Verdana"/>
          <w:lang w:val="en-GB"/>
        </w:rPr>
        <w:t>60</w:t>
      </w:r>
      <w:r w:rsidRPr="00651EB2">
        <w:rPr>
          <w:rFonts w:ascii="Verdana" w:hAnsi="Verdana" w:cs="Verdana"/>
          <w:lang w:val="en-GB"/>
        </w:rPr>
        <w:t xml:space="preserve"> respondents in terms of number of bedrooms (Q</w:t>
      </w:r>
      <w:r w:rsidR="004838AD" w:rsidRPr="00651EB2">
        <w:rPr>
          <w:rFonts w:ascii="Verdana" w:hAnsi="Verdana" w:cs="Verdana"/>
          <w:lang w:val="en-GB"/>
        </w:rPr>
        <w:t>8</w:t>
      </w:r>
      <w:r w:rsidRPr="00651EB2">
        <w:rPr>
          <w:rFonts w:ascii="Verdana" w:hAnsi="Verdana" w:cs="Verdana"/>
          <w:lang w:val="en-GB"/>
        </w:rPr>
        <w:t>) breaks down as follows (respondents could tick more than one):</w:t>
      </w:r>
    </w:p>
    <w:p w:rsidR="00C645B8" w:rsidRPr="00201E4E" w:rsidRDefault="00C645B8" w:rsidP="00C645B8">
      <w:pPr>
        <w:rPr>
          <w:rFonts w:ascii="Verdana" w:hAnsi="Verdana" w:cs="Verdana"/>
          <w:b/>
          <w:bCs/>
          <w:sz w:val="22"/>
          <w:szCs w:val="22"/>
          <w:lang w:val="en-GB"/>
        </w:rPr>
      </w:pPr>
    </w:p>
    <w:tbl>
      <w:tblPr>
        <w:tblW w:w="9961" w:type="dxa"/>
        <w:tblLayout w:type="fixed"/>
        <w:tblCellMar>
          <w:left w:w="180" w:type="dxa"/>
          <w:right w:w="180" w:type="dxa"/>
        </w:tblCellMar>
        <w:tblLook w:val="0000" w:firstRow="0" w:lastRow="0" w:firstColumn="0" w:lastColumn="0" w:noHBand="0" w:noVBand="0"/>
      </w:tblPr>
      <w:tblGrid>
        <w:gridCol w:w="7126"/>
        <w:gridCol w:w="2835"/>
      </w:tblGrid>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
                <w:bCs/>
                <w:lang w:val="en-GB"/>
              </w:rPr>
              <w:t xml:space="preserve">Number of bedrooms </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C645B8" w:rsidP="00EC5616">
            <w:pPr>
              <w:rPr>
                <w:rFonts w:ascii="Verdana" w:hAnsi="Verdana" w:cs="Verdana"/>
                <w:b/>
                <w:bCs/>
                <w:lang w:val="en-GB"/>
              </w:rPr>
            </w:pPr>
            <w:r w:rsidRPr="00651EB2">
              <w:rPr>
                <w:rFonts w:ascii="Verdana" w:hAnsi="Verdana" w:cs="Verdana"/>
                <w:b/>
                <w:bCs/>
                <w:lang w:val="en-GB"/>
              </w:rPr>
              <w:t>Number</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1 bedroom</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1</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2 bedrooms</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34</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3 bedrooms</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22</w:t>
            </w:r>
          </w:p>
        </w:tc>
      </w:tr>
      <w:tr w:rsidR="00C645B8" w:rsidRPr="00651EB2" w:rsidTr="00EC5616">
        <w:tc>
          <w:tcPr>
            <w:tcW w:w="7126"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More than 3 bedrooms</w:t>
            </w:r>
          </w:p>
        </w:tc>
        <w:tc>
          <w:tcPr>
            <w:tcW w:w="2835" w:type="dxa"/>
            <w:tcBorders>
              <w:top w:val="single" w:sz="8" w:space="0" w:color="auto"/>
              <w:left w:val="single" w:sz="8" w:space="0" w:color="auto"/>
              <w:bottom w:val="single" w:sz="8" w:space="0" w:color="auto"/>
              <w:right w:val="single" w:sz="8" w:space="0" w:color="auto"/>
            </w:tcBorders>
          </w:tcPr>
          <w:p w:rsidR="00C645B8" w:rsidRPr="00651EB2" w:rsidRDefault="001415D3" w:rsidP="00EC5616">
            <w:pPr>
              <w:rPr>
                <w:rFonts w:ascii="Verdana" w:hAnsi="Verdana" w:cs="Verdana"/>
                <w:lang w:val="en-GB"/>
              </w:rPr>
            </w:pPr>
            <w:r>
              <w:rPr>
                <w:rFonts w:ascii="Verdana" w:hAnsi="Verdana" w:cs="Verdana"/>
                <w:lang w:val="en-GB"/>
              </w:rPr>
              <w:t>16</w:t>
            </w:r>
          </w:p>
        </w:tc>
      </w:tr>
    </w:tbl>
    <w:p w:rsidR="004838AD" w:rsidRPr="00651EB2" w:rsidRDefault="004838AD" w:rsidP="00C645B8">
      <w:pPr>
        <w:widowControl/>
        <w:overflowPunct/>
        <w:adjustRightInd/>
        <w:rPr>
          <w:rFonts w:ascii="Verdana" w:hAnsi="Verdana" w:cs="Verdana"/>
          <w:bCs/>
          <w:lang w:val="en-GB"/>
        </w:rPr>
      </w:pPr>
    </w:p>
    <w:p w:rsidR="001415D3" w:rsidRDefault="00C645B8" w:rsidP="001415D3">
      <w:pPr>
        <w:widowControl/>
        <w:overflowPunct/>
        <w:adjustRightInd/>
        <w:rPr>
          <w:rFonts w:ascii="Verdana" w:hAnsi="Verdana" w:cs="Verdana"/>
          <w:bCs/>
          <w:lang w:val="en-GB"/>
        </w:rPr>
      </w:pPr>
      <w:r w:rsidRPr="00651EB2">
        <w:rPr>
          <w:rFonts w:ascii="Verdana" w:hAnsi="Verdana" w:cs="Verdana"/>
          <w:bCs/>
          <w:lang w:val="en-GB"/>
        </w:rPr>
        <w:t>The highest demand was for 2</w:t>
      </w:r>
      <w:r w:rsidR="00EE6E6D" w:rsidRPr="00651EB2">
        <w:rPr>
          <w:rFonts w:ascii="Verdana" w:hAnsi="Verdana" w:cs="Verdana"/>
          <w:bCs/>
          <w:lang w:val="en-GB"/>
        </w:rPr>
        <w:t xml:space="preserve"> then 3</w:t>
      </w:r>
      <w:r w:rsidRPr="00651EB2">
        <w:rPr>
          <w:rFonts w:ascii="Verdana" w:hAnsi="Verdana" w:cs="Verdana"/>
          <w:bCs/>
          <w:lang w:val="en-GB"/>
        </w:rPr>
        <w:t xml:space="preserve"> bedroom properties</w:t>
      </w:r>
      <w:r w:rsidR="00EE6E6D" w:rsidRPr="00651EB2">
        <w:rPr>
          <w:rFonts w:ascii="Verdana" w:hAnsi="Verdana" w:cs="Verdana"/>
          <w:bCs/>
          <w:lang w:val="en-GB"/>
        </w:rPr>
        <w:t>.</w:t>
      </w:r>
      <w:r w:rsidRPr="00651EB2">
        <w:rPr>
          <w:rFonts w:ascii="Verdana" w:hAnsi="Verdana" w:cs="Verdana"/>
          <w:bCs/>
          <w:lang w:val="en-GB"/>
        </w:rPr>
        <w:t xml:space="preserve"> </w:t>
      </w:r>
    </w:p>
    <w:p w:rsidR="00C645B8" w:rsidRPr="00651EB2" w:rsidRDefault="00C645B8" w:rsidP="001415D3">
      <w:pPr>
        <w:widowControl/>
        <w:overflowPunct/>
        <w:adjustRightInd/>
        <w:rPr>
          <w:rFonts w:ascii="Verdana" w:hAnsi="Verdana" w:cs="Verdana"/>
          <w:b/>
          <w:bCs/>
          <w:lang w:val="en-GB"/>
        </w:rPr>
      </w:pPr>
      <w:r w:rsidRPr="00651EB2">
        <w:rPr>
          <w:rFonts w:ascii="Verdana" w:hAnsi="Verdana" w:cs="Verdana"/>
          <w:b/>
          <w:bCs/>
          <w:lang w:val="en-GB"/>
        </w:rPr>
        <w:lastRenderedPageBreak/>
        <w:t>7.3</w:t>
      </w:r>
      <w:r w:rsidRPr="00651EB2">
        <w:rPr>
          <w:rFonts w:ascii="Verdana" w:hAnsi="Verdana" w:cs="Verdana"/>
          <w:b/>
          <w:bCs/>
          <w:lang w:val="en-GB"/>
        </w:rPr>
        <w:tab/>
        <w:t>Reason for housing need</w:t>
      </w:r>
    </w:p>
    <w:p w:rsidR="00C645B8" w:rsidRPr="00651EB2" w:rsidRDefault="00C645B8" w:rsidP="00C645B8">
      <w:pPr>
        <w:ind w:left="360"/>
        <w:rPr>
          <w:rFonts w:ascii="Verdana" w:hAnsi="Verdana" w:cs="Verdana"/>
          <w:b/>
          <w:bCs/>
          <w:lang w:val="en-GB"/>
        </w:rPr>
      </w:pPr>
    </w:p>
    <w:p w:rsidR="00C645B8" w:rsidRPr="00651EB2" w:rsidRDefault="00C645B8" w:rsidP="00C645B8">
      <w:pPr>
        <w:rPr>
          <w:rFonts w:ascii="Verdana" w:hAnsi="Verdana" w:cs="Verdana"/>
          <w:lang w:val="en-GB"/>
        </w:rPr>
      </w:pPr>
      <w:r w:rsidRPr="00651EB2">
        <w:rPr>
          <w:rFonts w:ascii="Verdana" w:hAnsi="Verdana" w:cs="Verdana"/>
          <w:lang w:val="en-GB"/>
        </w:rPr>
        <w:t xml:space="preserve">The needs identified by the </w:t>
      </w:r>
      <w:r w:rsidR="001415D3">
        <w:rPr>
          <w:rFonts w:ascii="Verdana" w:hAnsi="Verdana" w:cs="Verdana"/>
          <w:lang w:val="en-GB"/>
        </w:rPr>
        <w:t>60</w:t>
      </w:r>
      <w:r w:rsidR="00D93B1B" w:rsidRPr="00651EB2">
        <w:rPr>
          <w:rFonts w:ascii="Verdana" w:hAnsi="Verdana" w:cs="Verdana"/>
          <w:lang w:val="en-GB"/>
        </w:rPr>
        <w:t xml:space="preserve"> respondents (Q9</w:t>
      </w:r>
      <w:r w:rsidRPr="00651EB2">
        <w:rPr>
          <w:rFonts w:ascii="Verdana" w:hAnsi="Verdana" w:cs="Verdana"/>
          <w:lang w:val="en-GB"/>
        </w:rPr>
        <w:t>) can be summarised as follows (respondents were able to identify more than one need):</w:t>
      </w:r>
    </w:p>
    <w:p w:rsidR="00C645B8" w:rsidRPr="00651EB2" w:rsidRDefault="00C645B8" w:rsidP="00C645B8">
      <w:pPr>
        <w:rPr>
          <w:rFonts w:ascii="Verdana" w:hAnsi="Verdana" w:cs="Verdana"/>
          <w:lang w:val="en-GB"/>
        </w:rPr>
      </w:pPr>
    </w:p>
    <w:tbl>
      <w:tblPr>
        <w:tblW w:w="0" w:type="auto"/>
        <w:tblLayout w:type="fixed"/>
        <w:tblCellMar>
          <w:left w:w="180" w:type="dxa"/>
          <w:right w:w="180" w:type="dxa"/>
        </w:tblCellMar>
        <w:tblLook w:val="0000" w:firstRow="0" w:lastRow="0" w:firstColumn="0" w:lastColumn="0" w:noHBand="0" w:noVBand="0"/>
      </w:tblPr>
      <w:tblGrid>
        <w:gridCol w:w="7410"/>
        <w:gridCol w:w="2490"/>
      </w:tblGrid>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b/>
                <w:bCs/>
                <w:lang w:val="en-GB"/>
              </w:rPr>
              <w:t>Need</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C645B8" w:rsidP="00EC5616">
            <w:pPr>
              <w:rPr>
                <w:rFonts w:ascii="Verdana" w:hAnsi="Verdana" w:cs="Verdana"/>
                <w:lang w:val="en-GB"/>
              </w:rPr>
            </w:pPr>
            <w:r w:rsidRPr="00651EB2">
              <w:rPr>
                <w:rFonts w:ascii="Verdana" w:hAnsi="Verdana" w:cs="Verdana"/>
                <w:b/>
                <w:bCs/>
                <w:lang w:val="en-GB"/>
              </w:rPr>
              <w:t xml:space="preserve">Number </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Present home too large / wish to downsize</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32</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Present home too small</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12</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Want to move out of the family home</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8</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First time buyer</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2</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Medical reasons / disability</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11</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At risk of losing current home</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0</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Need property more suited to older people</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25</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Need to live closer to family or carer</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0</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Present home too expensive</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5</w:t>
            </w:r>
          </w:p>
        </w:tc>
      </w:tr>
      <w:tr w:rsidR="00C645B8" w:rsidRPr="00651EB2" w:rsidTr="00EC5616">
        <w:tc>
          <w:tcPr>
            <w:tcW w:w="7410" w:type="dxa"/>
            <w:tcBorders>
              <w:top w:val="single" w:sz="8" w:space="0" w:color="auto"/>
              <w:left w:val="single" w:sz="8" w:space="0" w:color="auto"/>
              <w:bottom w:val="single" w:sz="8" w:space="0" w:color="auto"/>
              <w:right w:val="nil"/>
            </w:tcBorders>
          </w:tcPr>
          <w:p w:rsidR="00C645B8" w:rsidRPr="00651EB2" w:rsidRDefault="00C645B8" w:rsidP="00EC5616">
            <w:pPr>
              <w:rPr>
                <w:rFonts w:ascii="Verdana" w:hAnsi="Verdana" w:cs="Verdana"/>
                <w:lang w:val="en-GB"/>
              </w:rPr>
            </w:pPr>
            <w:r w:rsidRPr="00651EB2">
              <w:rPr>
                <w:rFonts w:ascii="Verdana" w:hAnsi="Verdana" w:cs="Verdana"/>
                <w:lang w:val="en-GB"/>
              </w:rPr>
              <w:t>Other</w:t>
            </w:r>
          </w:p>
        </w:tc>
        <w:tc>
          <w:tcPr>
            <w:tcW w:w="2490" w:type="dxa"/>
            <w:tcBorders>
              <w:top w:val="single" w:sz="8" w:space="0" w:color="auto"/>
              <w:left w:val="single" w:sz="8" w:space="0" w:color="auto"/>
              <w:bottom w:val="single" w:sz="8" w:space="0" w:color="auto"/>
              <w:right w:val="single" w:sz="8" w:space="0" w:color="auto"/>
            </w:tcBorders>
          </w:tcPr>
          <w:p w:rsidR="00C645B8" w:rsidRPr="00651EB2" w:rsidRDefault="00AF594B" w:rsidP="00EC5616">
            <w:pPr>
              <w:rPr>
                <w:rFonts w:ascii="Verdana" w:hAnsi="Verdana" w:cs="Verdana"/>
                <w:lang w:val="en-GB"/>
              </w:rPr>
            </w:pPr>
            <w:r>
              <w:rPr>
                <w:rFonts w:ascii="Verdana" w:hAnsi="Verdana" w:cs="Verdana"/>
                <w:lang w:val="en-GB"/>
              </w:rPr>
              <w:t>2</w:t>
            </w:r>
          </w:p>
        </w:tc>
      </w:tr>
    </w:tbl>
    <w:p w:rsidR="00C645B8" w:rsidRPr="00651EB2" w:rsidRDefault="00C645B8" w:rsidP="00C645B8">
      <w:pPr>
        <w:rPr>
          <w:rFonts w:ascii="Verdana" w:hAnsi="Verdana" w:cs="Verdana"/>
          <w:lang w:val="en-GB"/>
        </w:rPr>
      </w:pPr>
    </w:p>
    <w:p w:rsidR="00C645B8" w:rsidRPr="00651EB2" w:rsidRDefault="004B56B2" w:rsidP="00C645B8">
      <w:pPr>
        <w:tabs>
          <w:tab w:val="left" w:pos="720"/>
        </w:tabs>
        <w:rPr>
          <w:rFonts w:ascii="Verdana" w:hAnsi="Verdana" w:cs="Verdana"/>
          <w:bCs/>
          <w:lang w:val="en-GB"/>
        </w:rPr>
      </w:pPr>
      <w:r w:rsidRPr="00651EB2">
        <w:rPr>
          <w:rFonts w:ascii="Verdana" w:hAnsi="Verdana" w:cs="Verdana"/>
          <w:bCs/>
          <w:lang w:val="en-GB"/>
        </w:rPr>
        <w:t>There is a definite demand</w:t>
      </w:r>
      <w:r w:rsidR="00AF594B">
        <w:rPr>
          <w:rFonts w:ascii="Verdana" w:hAnsi="Verdana" w:cs="Verdana"/>
          <w:bCs/>
          <w:lang w:val="en-GB"/>
        </w:rPr>
        <w:t xml:space="preserve"> from those looking to downsize and looking for homes</w:t>
      </w:r>
      <w:r w:rsidR="00C645B8" w:rsidRPr="00651EB2">
        <w:rPr>
          <w:rFonts w:ascii="Verdana" w:hAnsi="Verdana" w:cs="Verdana"/>
          <w:bCs/>
          <w:lang w:val="en-GB"/>
        </w:rPr>
        <w:t xml:space="preserve"> more suited to older people.</w:t>
      </w:r>
    </w:p>
    <w:p w:rsidR="00C645B8" w:rsidRDefault="00C645B8" w:rsidP="00C645B8">
      <w:pPr>
        <w:tabs>
          <w:tab w:val="left" w:pos="720"/>
        </w:tabs>
        <w:rPr>
          <w:rFonts w:ascii="Verdana" w:hAnsi="Verdana" w:cs="Verdana"/>
          <w:bCs/>
          <w:sz w:val="22"/>
          <w:szCs w:val="22"/>
          <w:lang w:val="en-GB"/>
        </w:rPr>
      </w:pPr>
    </w:p>
    <w:p w:rsidR="00651EB2" w:rsidRDefault="00651EB2" w:rsidP="00C645B8">
      <w:pPr>
        <w:tabs>
          <w:tab w:val="left" w:pos="720"/>
        </w:tabs>
        <w:rPr>
          <w:rFonts w:ascii="Verdana" w:hAnsi="Verdana" w:cs="Verdana"/>
          <w:b/>
          <w:bCs/>
          <w:lang w:val="en-GB"/>
        </w:rPr>
      </w:pPr>
    </w:p>
    <w:p w:rsidR="009D2C89" w:rsidRDefault="00FE3959" w:rsidP="00C645B8">
      <w:pPr>
        <w:tabs>
          <w:tab w:val="left" w:pos="720"/>
        </w:tabs>
        <w:rPr>
          <w:rFonts w:ascii="Verdana" w:hAnsi="Verdana" w:cs="Verdana"/>
          <w:b/>
          <w:bCs/>
          <w:lang w:val="en-GB"/>
        </w:rPr>
      </w:pPr>
      <w:r w:rsidRPr="007E2C74">
        <w:rPr>
          <w:rFonts w:ascii="Verdana" w:hAnsi="Verdana" w:cs="Verdana"/>
          <w:b/>
          <w:bCs/>
          <w:lang w:val="en-GB"/>
        </w:rPr>
        <w:t>8</w:t>
      </w:r>
      <w:r w:rsidR="009D2C89" w:rsidRPr="007E2C74">
        <w:rPr>
          <w:rFonts w:ascii="Verdana" w:hAnsi="Verdana" w:cs="Verdana"/>
          <w:b/>
          <w:bCs/>
          <w:lang w:val="en-GB"/>
        </w:rPr>
        <w:t>.</w:t>
      </w:r>
      <w:r w:rsidR="009D2C89">
        <w:rPr>
          <w:rFonts w:ascii="Verdana" w:hAnsi="Verdana" w:cs="Verdana"/>
          <w:b/>
          <w:bCs/>
          <w:lang w:val="en-GB"/>
        </w:rPr>
        <w:t xml:space="preserve"> </w:t>
      </w:r>
      <w:r w:rsidR="009D2C89">
        <w:rPr>
          <w:rFonts w:ascii="Verdana" w:hAnsi="Verdana" w:cs="Verdana"/>
          <w:b/>
          <w:bCs/>
          <w:lang w:val="en-GB"/>
        </w:rPr>
        <w:tab/>
        <w:t xml:space="preserve">Conclusions and recommendations </w:t>
      </w:r>
    </w:p>
    <w:p w:rsidR="009D2C89" w:rsidRDefault="009D2C89">
      <w:pPr>
        <w:ind w:left="360"/>
        <w:rPr>
          <w:rFonts w:ascii="Verdana" w:hAnsi="Verdana" w:cs="Verdana"/>
          <w:b/>
          <w:bCs/>
          <w:sz w:val="22"/>
          <w:szCs w:val="22"/>
          <w:lang w:val="en-GB"/>
        </w:rPr>
      </w:pPr>
    </w:p>
    <w:p w:rsidR="00C31889" w:rsidRPr="00651EB2" w:rsidRDefault="00FE3959" w:rsidP="00C31889">
      <w:pPr>
        <w:rPr>
          <w:rFonts w:ascii="Verdana" w:hAnsi="Verdana" w:cs="Verdana"/>
          <w:b/>
          <w:bCs/>
          <w:lang w:val="en-GB"/>
        </w:rPr>
      </w:pPr>
      <w:r w:rsidRPr="00651EB2">
        <w:rPr>
          <w:rFonts w:ascii="Verdana" w:hAnsi="Verdana" w:cs="Verdana"/>
          <w:b/>
          <w:bCs/>
          <w:lang w:val="en-GB"/>
        </w:rPr>
        <w:t>8</w:t>
      </w:r>
      <w:r w:rsidR="00C31889" w:rsidRPr="00651EB2">
        <w:rPr>
          <w:rFonts w:ascii="Verdana" w:hAnsi="Verdana" w:cs="Verdana"/>
          <w:b/>
          <w:bCs/>
          <w:lang w:val="en-GB"/>
        </w:rPr>
        <w:t>.1</w:t>
      </w:r>
      <w:r w:rsidR="00C31889" w:rsidRPr="00651EB2">
        <w:rPr>
          <w:rFonts w:ascii="Verdana" w:hAnsi="Verdana" w:cs="Verdana"/>
          <w:b/>
          <w:bCs/>
          <w:lang w:val="en-GB"/>
        </w:rPr>
        <w:tab/>
        <w:t>Affordable housing</w:t>
      </w:r>
    </w:p>
    <w:p w:rsidR="00C31889" w:rsidRPr="00651EB2" w:rsidRDefault="00C31889" w:rsidP="00906125">
      <w:pPr>
        <w:rPr>
          <w:rFonts w:ascii="Verdana" w:hAnsi="Verdana" w:cs="Verdana"/>
          <w:lang w:val="en-GB"/>
        </w:rPr>
      </w:pPr>
    </w:p>
    <w:p w:rsidR="00C31889" w:rsidRPr="00651EB2" w:rsidRDefault="00C31889" w:rsidP="00C31889">
      <w:pPr>
        <w:rPr>
          <w:rFonts w:ascii="Verdana" w:hAnsi="Verdana" w:cs="Verdana"/>
          <w:lang w:val="en-GB"/>
        </w:rPr>
      </w:pPr>
      <w:r w:rsidRPr="00651EB2">
        <w:rPr>
          <w:rFonts w:ascii="Verdana" w:hAnsi="Verdana" w:cs="Verdana"/>
          <w:lang w:val="en-GB"/>
        </w:rPr>
        <w:t xml:space="preserve">Analysis of the data considered in Chapter </w:t>
      </w:r>
      <w:r w:rsidR="00FE3959" w:rsidRPr="00651EB2">
        <w:rPr>
          <w:rFonts w:ascii="Verdana" w:hAnsi="Verdana" w:cs="Verdana"/>
          <w:lang w:val="en-GB"/>
        </w:rPr>
        <w:t>6</w:t>
      </w:r>
      <w:r w:rsidRPr="00651EB2">
        <w:rPr>
          <w:rFonts w:ascii="Verdana" w:hAnsi="Verdana" w:cs="Verdana"/>
          <w:lang w:val="en-GB"/>
        </w:rPr>
        <w:t xml:space="preserve"> has identified a need for affordable housing within </w:t>
      </w:r>
      <w:r w:rsidR="00833C5B">
        <w:rPr>
          <w:rFonts w:ascii="Verdana" w:hAnsi="Verdana" w:cs="Verdana"/>
          <w:lang w:val="en-GB"/>
        </w:rPr>
        <w:t>Oakley</w:t>
      </w:r>
      <w:r w:rsidRPr="00651EB2">
        <w:rPr>
          <w:rFonts w:ascii="Verdana" w:hAnsi="Verdana" w:cs="Verdana"/>
          <w:lang w:val="en-GB"/>
        </w:rPr>
        <w:t xml:space="preserve"> from households resident in</w:t>
      </w:r>
      <w:r w:rsidR="00651EB2">
        <w:rPr>
          <w:rFonts w:ascii="Verdana" w:hAnsi="Verdana" w:cs="Verdana"/>
          <w:lang w:val="en-GB"/>
        </w:rPr>
        <w:t xml:space="preserve"> (or with stro</w:t>
      </w:r>
      <w:r w:rsidR="00CF25BF" w:rsidRPr="00651EB2">
        <w:rPr>
          <w:rFonts w:ascii="Verdana" w:hAnsi="Verdana" w:cs="Verdana"/>
          <w:lang w:val="en-GB"/>
        </w:rPr>
        <w:t>ng links to)</w:t>
      </w:r>
      <w:r w:rsidRPr="00651EB2">
        <w:rPr>
          <w:rFonts w:ascii="Verdana" w:hAnsi="Verdana" w:cs="Verdana"/>
          <w:lang w:val="en-GB"/>
        </w:rPr>
        <w:t xml:space="preserve"> the </w:t>
      </w:r>
      <w:r w:rsidR="00E8728C" w:rsidRPr="00651EB2">
        <w:rPr>
          <w:rFonts w:ascii="Verdana" w:hAnsi="Verdana" w:cs="Verdana"/>
          <w:lang w:val="en-GB"/>
        </w:rPr>
        <w:t>parish, which</w:t>
      </w:r>
      <w:r w:rsidRPr="00651EB2">
        <w:rPr>
          <w:rFonts w:ascii="Verdana" w:hAnsi="Verdana" w:cs="Verdana"/>
          <w:lang w:val="en-GB"/>
        </w:rPr>
        <w:t xml:space="preserve"> is unlikely to be met by normal market provision. This need generally comes from</w:t>
      </w:r>
      <w:r w:rsidR="00CF25BF" w:rsidRPr="00651EB2">
        <w:rPr>
          <w:rFonts w:ascii="Verdana" w:hAnsi="Verdana" w:cs="Verdana"/>
          <w:lang w:val="en-GB"/>
        </w:rPr>
        <w:t xml:space="preserve"> first time buyers, wanting to move out of the family home or rented accommodation and from families who are looking for more space</w:t>
      </w:r>
      <w:r w:rsidR="00E8728C" w:rsidRPr="00651EB2">
        <w:rPr>
          <w:rFonts w:ascii="Verdana" w:hAnsi="Verdana" w:cs="Verdana"/>
          <w:lang w:val="en-GB"/>
        </w:rPr>
        <w:t>.</w:t>
      </w:r>
      <w:r w:rsidRPr="00651EB2">
        <w:rPr>
          <w:rFonts w:ascii="Verdana" w:hAnsi="Verdana" w:cs="Verdana"/>
          <w:lang w:val="en-GB"/>
        </w:rPr>
        <w:t xml:space="preserve"> </w:t>
      </w:r>
    </w:p>
    <w:p w:rsidR="00C31889" w:rsidRPr="00651EB2" w:rsidRDefault="00C31889" w:rsidP="00C31889">
      <w:pPr>
        <w:rPr>
          <w:rFonts w:ascii="Verdana" w:hAnsi="Verdana" w:cs="Verdana"/>
          <w:lang w:val="en-GB"/>
        </w:rPr>
      </w:pPr>
    </w:p>
    <w:p w:rsidR="00AD207B" w:rsidRPr="00651EB2" w:rsidRDefault="00AD207B" w:rsidP="00C31889">
      <w:pPr>
        <w:rPr>
          <w:rFonts w:ascii="Verdana" w:hAnsi="Verdana" w:cs="Verdana"/>
          <w:lang w:val="en-GB"/>
        </w:rPr>
      </w:pPr>
      <w:r w:rsidRPr="00651EB2">
        <w:rPr>
          <w:rFonts w:ascii="Verdana" w:hAnsi="Verdana" w:cs="Verdana"/>
          <w:lang w:val="en-GB"/>
        </w:rPr>
        <w:t xml:space="preserve">Affordable rented and shared ownership housing for local people in </w:t>
      </w:r>
      <w:r w:rsidR="007E2C74">
        <w:rPr>
          <w:rFonts w:ascii="Verdana" w:hAnsi="Verdana" w:cs="Verdana"/>
          <w:lang w:val="en-GB"/>
        </w:rPr>
        <w:t>Oakley</w:t>
      </w:r>
      <w:r w:rsidRPr="00651EB2">
        <w:rPr>
          <w:rFonts w:ascii="Verdana" w:hAnsi="Verdana" w:cs="Verdana"/>
          <w:lang w:val="en-GB"/>
        </w:rPr>
        <w:t xml:space="preserve"> could be provided by including a rural exception site policy within the Neighbourhood Plan, which would provide affordable housing for which households with a local connection would take priority. </w:t>
      </w:r>
    </w:p>
    <w:p w:rsidR="00AD207B" w:rsidRPr="00651EB2" w:rsidRDefault="00AD207B" w:rsidP="00C31889">
      <w:pPr>
        <w:rPr>
          <w:rFonts w:ascii="Verdana" w:hAnsi="Verdana" w:cs="Verdana"/>
          <w:lang w:val="en-GB"/>
        </w:rPr>
      </w:pPr>
    </w:p>
    <w:p w:rsidR="00C31889" w:rsidRPr="00651EB2" w:rsidRDefault="00C31889" w:rsidP="00C31889">
      <w:pPr>
        <w:rPr>
          <w:rFonts w:ascii="Verdana" w:hAnsi="Verdana" w:cs="Verdana"/>
          <w:lang w:val="en-GB"/>
        </w:rPr>
      </w:pPr>
      <w:r w:rsidRPr="00651EB2">
        <w:rPr>
          <w:rFonts w:ascii="Verdana" w:hAnsi="Verdana" w:cs="Verdana"/>
          <w:lang w:val="en-GB"/>
        </w:rPr>
        <w:t>Based on data s</w:t>
      </w:r>
      <w:r w:rsidR="00EA1645" w:rsidRPr="00651EB2">
        <w:rPr>
          <w:rFonts w:ascii="Verdana" w:hAnsi="Verdana" w:cs="Verdana"/>
          <w:lang w:val="en-GB"/>
        </w:rPr>
        <w:t xml:space="preserve">upplied by respondents, up to </w:t>
      </w:r>
      <w:r w:rsidR="007E2C74">
        <w:rPr>
          <w:rFonts w:ascii="Verdana" w:hAnsi="Verdana" w:cs="Verdana"/>
          <w:lang w:val="en-GB"/>
        </w:rPr>
        <w:t>31</w:t>
      </w:r>
      <w:r w:rsidRPr="00651EB2">
        <w:rPr>
          <w:rFonts w:ascii="Verdana" w:hAnsi="Verdana" w:cs="Verdana"/>
          <w:lang w:val="en-GB"/>
        </w:rPr>
        <w:t xml:space="preserve"> households with a local connection would be suitable for housing within a rural exception site development, whether for rent or shared ownership.  However, it must be recognised that this is a snapshot of current, self-assessed need: some respondents may withdraw, move, or be housed by other means during the planning and development of any future scheme. </w:t>
      </w:r>
    </w:p>
    <w:p w:rsidR="00CF25BF" w:rsidRPr="00651EB2" w:rsidRDefault="00CF25BF" w:rsidP="00C31889">
      <w:pPr>
        <w:rPr>
          <w:rFonts w:ascii="Verdana" w:hAnsi="Verdana" w:cs="Verdana"/>
          <w:lang w:val="en-GB"/>
        </w:rPr>
      </w:pPr>
    </w:p>
    <w:p w:rsidR="00C31889" w:rsidRPr="00651EB2" w:rsidRDefault="00C31889" w:rsidP="00C31889">
      <w:pPr>
        <w:rPr>
          <w:rFonts w:ascii="Verdana" w:hAnsi="Verdana" w:cs="Verdana"/>
          <w:lang w:val="en-GB"/>
        </w:rPr>
      </w:pPr>
      <w:r w:rsidRPr="00651EB2">
        <w:rPr>
          <w:rFonts w:ascii="Verdana" w:hAnsi="Verdana" w:cs="Verdana"/>
          <w:lang w:val="en-GB"/>
        </w:rPr>
        <w:t xml:space="preserve">In order to have reasonable confidence that any new housing provided through a rural exception site will be taken up by people with a local connection to </w:t>
      </w:r>
      <w:r w:rsidR="007E2C74">
        <w:rPr>
          <w:rFonts w:ascii="Verdana" w:hAnsi="Verdana" w:cs="Verdana"/>
          <w:lang w:val="en-GB"/>
        </w:rPr>
        <w:t>Oakley</w:t>
      </w:r>
      <w:r w:rsidRPr="00651EB2">
        <w:rPr>
          <w:rFonts w:ascii="Verdana" w:hAnsi="Verdana" w:cs="Verdana"/>
          <w:lang w:val="en-GB"/>
        </w:rPr>
        <w:t>, our recommendation is to meet</w:t>
      </w:r>
      <w:r w:rsidR="007E2C74">
        <w:rPr>
          <w:rFonts w:ascii="Verdana" w:hAnsi="Verdana" w:cs="Verdana"/>
          <w:lang w:val="en-GB"/>
        </w:rPr>
        <w:t xml:space="preserve"> just under</w:t>
      </w:r>
      <w:r w:rsidR="00E8728C" w:rsidRPr="00651EB2">
        <w:rPr>
          <w:rFonts w:ascii="Verdana" w:hAnsi="Verdana" w:cs="Verdana"/>
          <w:lang w:val="en-GB"/>
        </w:rPr>
        <w:t xml:space="preserve"> </w:t>
      </w:r>
      <w:r w:rsidR="00CF25BF" w:rsidRPr="00651EB2">
        <w:rPr>
          <w:rFonts w:ascii="Verdana" w:hAnsi="Verdana" w:cs="Verdana"/>
          <w:lang w:val="en-GB"/>
        </w:rPr>
        <w:t>5</w:t>
      </w:r>
      <w:r w:rsidRPr="00651EB2">
        <w:rPr>
          <w:rFonts w:ascii="Verdana" w:hAnsi="Verdana" w:cs="Verdana"/>
          <w:lang w:val="en-GB"/>
        </w:rPr>
        <w:t xml:space="preserve">0% of the need identified, </w:t>
      </w:r>
      <w:r w:rsidRPr="00651EB2">
        <w:rPr>
          <w:rFonts w:ascii="Verdana" w:hAnsi="Verdana" w:cs="Verdana"/>
          <w:lang w:val="en-GB"/>
        </w:rPr>
        <w:lastRenderedPageBreak/>
        <w:t xml:space="preserve">which would be </w:t>
      </w:r>
      <w:r w:rsidR="00CF25BF" w:rsidRPr="00651EB2">
        <w:rPr>
          <w:rFonts w:ascii="Verdana" w:hAnsi="Verdana" w:cs="Verdana"/>
          <w:b/>
          <w:lang w:val="en-GB"/>
        </w:rPr>
        <w:t>1</w:t>
      </w:r>
      <w:r w:rsidR="007E2C74">
        <w:rPr>
          <w:rFonts w:ascii="Verdana" w:hAnsi="Verdana" w:cs="Verdana"/>
          <w:b/>
          <w:lang w:val="en-GB"/>
        </w:rPr>
        <w:t>5</w:t>
      </w:r>
      <w:r w:rsidRPr="00651EB2">
        <w:rPr>
          <w:rFonts w:ascii="Verdana" w:hAnsi="Verdana" w:cs="Verdana"/>
          <w:b/>
          <w:bCs/>
          <w:lang w:val="en-GB"/>
        </w:rPr>
        <w:t xml:space="preserve"> units</w:t>
      </w:r>
      <w:r w:rsidRPr="00651EB2">
        <w:rPr>
          <w:rFonts w:ascii="Verdana" w:hAnsi="Verdana" w:cs="Verdana"/>
          <w:bCs/>
          <w:lang w:val="en-GB"/>
        </w:rPr>
        <w:t>.</w:t>
      </w:r>
      <w:r w:rsidRPr="00651EB2">
        <w:rPr>
          <w:rFonts w:ascii="Verdana" w:hAnsi="Verdana" w:cs="Verdana"/>
          <w:lang w:val="en-GB"/>
        </w:rPr>
        <w:t xml:space="preserve"> </w:t>
      </w:r>
    </w:p>
    <w:p w:rsidR="00C31889" w:rsidRPr="00651EB2" w:rsidRDefault="00C31889" w:rsidP="00C31889">
      <w:pPr>
        <w:rPr>
          <w:rFonts w:ascii="Verdana" w:hAnsi="Verdana" w:cs="Verdana"/>
          <w:lang w:val="en-GB"/>
        </w:rPr>
      </w:pPr>
    </w:p>
    <w:p w:rsidR="00AD207B" w:rsidRPr="00651EB2" w:rsidRDefault="00AD207B" w:rsidP="00AD207B">
      <w:pPr>
        <w:rPr>
          <w:rFonts w:ascii="Verdana" w:hAnsi="Verdana" w:cs="Verdana"/>
          <w:lang w:val="en-GB"/>
        </w:rPr>
      </w:pPr>
      <w:r w:rsidRPr="00170D24">
        <w:rPr>
          <w:rFonts w:ascii="Verdana" w:hAnsi="Verdana" w:cs="Verdana"/>
          <w:lang w:val="en-GB"/>
        </w:rPr>
        <w:t>Our</w:t>
      </w:r>
      <w:r w:rsidRPr="00651EB2">
        <w:rPr>
          <w:rFonts w:ascii="Verdana" w:hAnsi="Verdana" w:cs="Verdana"/>
          <w:lang w:val="en-GB"/>
        </w:rPr>
        <w:t xml:space="preserve"> assessment from the data is that the </w:t>
      </w:r>
      <w:r w:rsidR="00CF25BF" w:rsidRPr="00651EB2">
        <w:rPr>
          <w:rFonts w:ascii="Verdana" w:hAnsi="Verdana" w:cs="Verdana"/>
          <w:lang w:val="en-GB"/>
        </w:rPr>
        <w:t>1</w:t>
      </w:r>
      <w:r w:rsidR="007E2C74">
        <w:rPr>
          <w:rFonts w:ascii="Verdana" w:hAnsi="Verdana" w:cs="Verdana"/>
          <w:lang w:val="en-GB"/>
        </w:rPr>
        <w:t>5</w:t>
      </w:r>
      <w:r w:rsidRPr="00651EB2">
        <w:rPr>
          <w:rFonts w:ascii="Verdana" w:hAnsi="Verdana" w:cs="Verdana"/>
          <w:b/>
          <w:bCs/>
          <w:lang w:val="en-GB"/>
        </w:rPr>
        <w:t xml:space="preserve"> </w:t>
      </w:r>
      <w:r w:rsidRPr="00651EB2">
        <w:rPr>
          <w:rFonts w:ascii="Verdana" w:hAnsi="Verdana" w:cs="Verdana"/>
          <w:lang w:val="en-GB"/>
        </w:rPr>
        <w:t>units could be broken down as follows:</w:t>
      </w:r>
    </w:p>
    <w:p w:rsidR="00AD207B" w:rsidRPr="00651EB2" w:rsidRDefault="00AD207B" w:rsidP="00AD207B">
      <w:pPr>
        <w:rPr>
          <w:rFonts w:ascii="Verdana" w:hAnsi="Verdana" w:cs="Verdana"/>
          <w:b/>
          <w:bCs/>
          <w:lang w:val="en-GB"/>
        </w:rPr>
      </w:pPr>
    </w:p>
    <w:p w:rsidR="00AD207B" w:rsidRPr="00651EB2" w:rsidRDefault="00AE528D" w:rsidP="00CF25BF">
      <w:pPr>
        <w:rPr>
          <w:rFonts w:ascii="Verdana" w:hAnsi="Verdana" w:cs="Verdana"/>
          <w:bCs/>
          <w:lang w:val="en-GB"/>
        </w:rPr>
      </w:pPr>
      <w:r>
        <w:rPr>
          <w:rFonts w:ascii="Verdana" w:hAnsi="Verdana" w:cs="Verdana"/>
          <w:bCs/>
          <w:lang w:val="en-GB"/>
        </w:rPr>
        <w:t>3</w:t>
      </w:r>
      <w:r w:rsidR="00AD207B" w:rsidRPr="00651EB2">
        <w:rPr>
          <w:rFonts w:ascii="Verdana" w:hAnsi="Verdana" w:cs="Verdana"/>
          <w:bCs/>
          <w:lang w:val="en-GB"/>
        </w:rPr>
        <w:t xml:space="preserve"> x </w:t>
      </w:r>
      <w:r w:rsidR="00274DBA" w:rsidRPr="00651EB2">
        <w:rPr>
          <w:rFonts w:ascii="Verdana" w:hAnsi="Verdana" w:cs="Verdana"/>
          <w:bCs/>
          <w:lang w:val="en-GB"/>
        </w:rPr>
        <w:t xml:space="preserve">1-2 bedroom </w:t>
      </w:r>
      <w:r>
        <w:rPr>
          <w:rFonts w:ascii="Verdana" w:hAnsi="Verdana" w:cs="Verdana"/>
          <w:bCs/>
          <w:lang w:val="en-GB"/>
        </w:rPr>
        <w:t>house / flat</w:t>
      </w:r>
      <w:r w:rsidR="00274DBA" w:rsidRPr="00651EB2">
        <w:rPr>
          <w:rFonts w:ascii="Verdana" w:hAnsi="Verdana" w:cs="Verdana"/>
          <w:bCs/>
          <w:lang w:val="en-GB"/>
        </w:rPr>
        <w:t xml:space="preserve"> (rent)</w:t>
      </w:r>
    </w:p>
    <w:p w:rsidR="00274DBA" w:rsidRPr="00651EB2" w:rsidRDefault="00274DBA" w:rsidP="00CF25BF">
      <w:pPr>
        <w:rPr>
          <w:rFonts w:ascii="Verdana" w:hAnsi="Verdana" w:cs="Verdana"/>
          <w:bCs/>
          <w:lang w:val="en-GB"/>
        </w:rPr>
      </w:pPr>
      <w:r w:rsidRPr="00651EB2">
        <w:rPr>
          <w:rFonts w:ascii="Verdana" w:hAnsi="Verdana" w:cs="Verdana"/>
          <w:bCs/>
          <w:lang w:val="en-GB"/>
        </w:rPr>
        <w:t>6 x 2 bedroom house (</w:t>
      </w:r>
      <w:r w:rsidR="00AE528D">
        <w:rPr>
          <w:rFonts w:ascii="Verdana" w:hAnsi="Verdana" w:cs="Verdana"/>
          <w:bCs/>
          <w:lang w:val="en-GB"/>
        </w:rPr>
        <w:t>3</w:t>
      </w:r>
      <w:r w:rsidRPr="00651EB2">
        <w:rPr>
          <w:rFonts w:ascii="Verdana" w:hAnsi="Verdana" w:cs="Verdana"/>
          <w:bCs/>
          <w:lang w:val="en-GB"/>
        </w:rPr>
        <w:t xml:space="preserve"> shared ownership, </w:t>
      </w:r>
      <w:r w:rsidR="00AE528D">
        <w:rPr>
          <w:rFonts w:ascii="Verdana" w:hAnsi="Verdana" w:cs="Verdana"/>
          <w:bCs/>
          <w:lang w:val="en-GB"/>
        </w:rPr>
        <w:t>3</w:t>
      </w:r>
      <w:r w:rsidRPr="00651EB2">
        <w:rPr>
          <w:rFonts w:ascii="Verdana" w:hAnsi="Verdana" w:cs="Verdana"/>
          <w:bCs/>
          <w:lang w:val="en-GB"/>
        </w:rPr>
        <w:t xml:space="preserve"> rent)</w:t>
      </w:r>
    </w:p>
    <w:p w:rsidR="00274DBA" w:rsidRPr="00651EB2" w:rsidRDefault="00AE528D" w:rsidP="00CF25BF">
      <w:pPr>
        <w:rPr>
          <w:rFonts w:ascii="Verdana" w:hAnsi="Verdana" w:cs="Verdana"/>
          <w:bCs/>
          <w:lang w:val="en-GB"/>
        </w:rPr>
      </w:pPr>
      <w:r>
        <w:rPr>
          <w:rFonts w:ascii="Verdana" w:hAnsi="Verdana" w:cs="Verdana"/>
          <w:bCs/>
          <w:lang w:val="en-GB"/>
        </w:rPr>
        <w:t>3 x 3</w:t>
      </w:r>
      <w:r w:rsidR="00274DBA" w:rsidRPr="00651EB2">
        <w:rPr>
          <w:rFonts w:ascii="Verdana" w:hAnsi="Verdana" w:cs="Verdana"/>
          <w:bCs/>
          <w:lang w:val="en-GB"/>
        </w:rPr>
        <w:t xml:space="preserve"> bedroom house (</w:t>
      </w:r>
      <w:r>
        <w:rPr>
          <w:rFonts w:ascii="Verdana" w:hAnsi="Verdana" w:cs="Verdana"/>
          <w:bCs/>
          <w:lang w:val="en-GB"/>
        </w:rPr>
        <w:t xml:space="preserve">2 shared ownership, 1 </w:t>
      </w:r>
      <w:r w:rsidR="00274DBA" w:rsidRPr="00651EB2">
        <w:rPr>
          <w:rFonts w:ascii="Verdana" w:hAnsi="Verdana" w:cs="Verdana"/>
          <w:bCs/>
          <w:lang w:val="en-GB"/>
        </w:rPr>
        <w:t>rent)</w:t>
      </w:r>
    </w:p>
    <w:p w:rsidR="00274DBA" w:rsidRPr="00651EB2" w:rsidRDefault="00AE528D" w:rsidP="00CF25BF">
      <w:pPr>
        <w:rPr>
          <w:rFonts w:ascii="Verdana" w:hAnsi="Verdana" w:cs="Verdana"/>
          <w:lang w:val="en-GB"/>
        </w:rPr>
      </w:pPr>
      <w:r>
        <w:rPr>
          <w:rFonts w:ascii="Verdana" w:hAnsi="Verdana" w:cs="Verdana"/>
          <w:bCs/>
          <w:lang w:val="en-GB"/>
        </w:rPr>
        <w:t>3 x 2</w:t>
      </w:r>
      <w:r w:rsidR="00274DBA" w:rsidRPr="00651EB2">
        <w:rPr>
          <w:rFonts w:ascii="Verdana" w:hAnsi="Verdana" w:cs="Verdana"/>
          <w:bCs/>
          <w:lang w:val="en-GB"/>
        </w:rPr>
        <w:t xml:space="preserve"> bedroom </w:t>
      </w:r>
      <w:r>
        <w:rPr>
          <w:rFonts w:ascii="Verdana" w:hAnsi="Verdana" w:cs="Verdana"/>
          <w:bCs/>
          <w:lang w:val="en-GB"/>
        </w:rPr>
        <w:t>bungalow</w:t>
      </w:r>
      <w:r w:rsidR="00274DBA" w:rsidRPr="00651EB2">
        <w:rPr>
          <w:rFonts w:ascii="Verdana" w:hAnsi="Verdana" w:cs="Verdana"/>
          <w:bCs/>
          <w:lang w:val="en-GB"/>
        </w:rPr>
        <w:t xml:space="preserve"> (1 shared ownership</w:t>
      </w:r>
      <w:r>
        <w:rPr>
          <w:rFonts w:ascii="Verdana" w:hAnsi="Verdana" w:cs="Verdana"/>
          <w:bCs/>
          <w:lang w:val="en-GB"/>
        </w:rPr>
        <w:t>, 2 rent</w:t>
      </w:r>
      <w:r w:rsidR="00274DBA" w:rsidRPr="00651EB2">
        <w:rPr>
          <w:rFonts w:ascii="Verdana" w:hAnsi="Verdana" w:cs="Verdana"/>
          <w:bCs/>
          <w:lang w:val="en-GB"/>
        </w:rPr>
        <w:t>)</w:t>
      </w:r>
    </w:p>
    <w:p w:rsidR="00AD207B" w:rsidRPr="00651EB2" w:rsidRDefault="00AD207B" w:rsidP="00AD207B">
      <w:pPr>
        <w:rPr>
          <w:rFonts w:ascii="Verdana" w:hAnsi="Verdana" w:cs="Verdana"/>
          <w:b/>
          <w:bCs/>
          <w:lang w:val="en-GB"/>
        </w:rPr>
      </w:pPr>
    </w:p>
    <w:p w:rsidR="00CE0289" w:rsidRPr="00651EB2" w:rsidRDefault="00AD207B" w:rsidP="00CF3EE9">
      <w:pPr>
        <w:rPr>
          <w:rFonts w:ascii="Verdana" w:hAnsi="Verdana" w:cs="Verdana"/>
          <w:lang w:val="en-GB"/>
        </w:rPr>
      </w:pPr>
      <w:r w:rsidRPr="00651EB2">
        <w:rPr>
          <w:rFonts w:ascii="Verdana" w:hAnsi="Verdana" w:cs="Verdana"/>
          <w:lang w:val="en-GB"/>
        </w:rPr>
        <w:t xml:space="preserve">In making this assessment we consider a number of factors including household size and circumstances; the type and tenure being sought by respondents; and their financial means. </w:t>
      </w:r>
      <w:r w:rsidR="00274DBA" w:rsidRPr="00651EB2">
        <w:rPr>
          <w:rFonts w:ascii="Verdana" w:hAnsi="Verdana" w:cs="Verdana"/>
          <w:lang w:val="en-GB"/>
        </w:rPr>
        <w:t xml:space="preserve"> This breakdown is explained further below:</w:t>
      </w:r>
    </w:p>
    <w:p w:rsidR="00274DBA" w:rsidRPr="00651EB2" w:rsidRDefault="00274DBA" w:rsidP="00CF3EE9">
      <w:pPr>
        <w:rPr>
          <w:rFonts w:ascii="Verdana" w:hAnsi="Verdana" w:cs="Verdana"/>
          <w:lang w:val="en-GB"/>
        </w:rPr>
      </w:pPr>
    </w:p>
    <w:p w:rsidR="00274DBA" w:rsidRPr="00651EB2" w:rsidRDefault="00AE528D" w:rsidP="00CF3EE9">
      <w:pPr>
        <w:rPr>
          <w:rFonts w:ascii="Verdana" w:hAnsi="Verdana" w:cs="Verdana"/>
          <w:b/>
          <w:lang w:val="en-GB"/>
        </w:rPr>
      </w:pPr>
      <w:r>
        <w:rPr>
          <w:rFonts w:ascii="Verdana" w:hAnsi="Verdana" w:cs="Verdana"/>
          <w:b/>
          <w:lang w:val="en-GB"/>
        </w:rPr>
        <w:t>3</w:t>
      </w:r>
      <w:r w:rsidR="00274DBA" w:rsidRPr="00651EB2">
        <w:rPr>
          <w:rFonts w:ascii="Verdana" w:hAnsi="Verdana" w:cs="Verdana"/>
          <w:b/>
          <w:lang w:val="en-GB"/>
        </w:rPr>
        <w:t xml:space="preserve"> x 1-2 bedroom </w:t>
      </w:r>
      <w:r>
        <w:rPr>
          <w:rFonts w:ascii="Verdana" w:hAnsi="Verdana" w:cs="Verdana"/>
          <w:b/>
          <w:lang w:val="en-GB"/>
        </w:rPr>
        <w:t>house /flat</w:t>
      </w:r>
      <w:r w:rsidR="00274DBA" w:rsidRPr="00651EB2">
        <w:rPr>
          <w:rFonts w:ascii="Verdana" w:hAnsi="Verdana" w:cs="Verdana"/>
          <w:b/>
          <w:lang w:val="en-GB"/>
        </w:rPr>
        <w:t xml:space="preserve"> (rent)</w:t>
      </w:r>
    </w:p>
    <w:p w:rsidR="00274DBA" w:rsidRDefault="00AE528D" w:rsidP="00CF3EE9">
      <w:pPr>
        <w:rPr>
          <w:rFonts w:ascii="Verdana" w:hAnsi="Verdana" w:cs="Verdana"/>
          <w:lang w:val="en-GB"/>
        </w:rPr>
      </w:pPr>
      <w:r>
        <w:rPr>
          <w:rFonts w:ascii="Verdana" w:hAnsi="Verdana" w:cs="Verdana"/>
          <w:lang w:val="en-GB"/>
        </w:rPr>
        <w:t>5</w:t>
      </w:r>
      <w:r w:rsidR="00627BC3">
        <w:rPr>
          <w:rFonts w:ascii="Verdana" w:hAnsi="Verdana" w:cs="Verdana"/>
          <w:lang w:val="en-GB"/>
        </w:rPr>
        <w:t xml:space="preserve"> respondents who were either</w:t>
      </w:r>
      <w:r w:rsidR="00740B75" w:rsidRPr="00651EB2">
        <w:rPr>
          <w:rFonts w:ascii="Verdana" w:hAnsi="Verdana" w:cs="Verdana"/>
          <w:lang w:val="en-GB"/>
        </w:rPr>
        <w:t xml:space="preserve"> older si</w:t>
      </w:r>
      <w:r w:rsidR="00627BC3">
        <w:rPr>
          <w:rFonts w:ascii="Verdana" w:hAnsi="Verdana" w:cs="Verdana"/>
          <w:lang w:val="en-GB"/>
        </w:rPr>
        <w:t>ngle adult / couples looking to downsize or young single adult / couples looking to move out of the family home for the first time, were looking for a 1 or 2 bed property and</w:t>
      </w:r>
      <w:r w:rsidR="00CD1362">
        <w:rPr>
          <w:rFonts w:ascii="Verdana" w:hAnsi="Verdana" w:cs="Verdana"/>
          <w:lang w:val="en-GB"/>
        </w:rPr>
        <w:t xml:space="preserve"> either</w:t>
      </w:r>
      <w:r w:rsidR="00627BC3">
        <w:rPr>
          <w:rFonts w:ascii="Verdana" w:hAnsi="Verdana" w:cs="Verdana"/>
          <w:lang w:val="en-GB"/>
        </w:rPr>
        <w:t xml:space="preserve"> stated that they would prefer a flat or were happy with a house or flat</w:t>
      </w:r>
      <w:r w:rsidR="00740B75" w:rsidRPr="00651EB2">
        <w:rPr>
          <w:rFonts w:ascii="Verdana" w:hAnsi="Verdana" w:cs="Verdana"/>
          <w:lang w:val="en-GB"/>
        </w:rPr>
        <w:t xml:space="preserve">.  All were looking to rent.  </w:t>
      </w:r>
    </w:p>
    <w:p w:rsidR="00627BC3" w:rsidRPr="00651EB2" w:rsidRDefault="00627BC3" w:rsidP="00CF3EE9">
      <w:pPr>
        <w:rPr>
          <w:rFonts w:ascii="Verdana" w:hAnsi="Verdana" w:cs="Verdana"/>
          <w:lang w:val="en-GB"/>
        </w:rPr>
      </w:pPr>
    </w:p>
    <w:p w:rsidR="00274DBA" w:rsidRPr="00651EB2" w:rsidRDefault="00627BC3" w:rsidP="00CF3EE9">
      <w:pPr>
        <w:rPr>
          <w:rFonts w:ascii="Verdana" w:hAnsi="Verdana" w:cs="Verdana"/>
          <w:b/>
          <w:lang w:val="en-GB"/>
        </w:rPr>
      </w:pPr>
      <w:r>
        <w:rPr>
          <w:rFonts w:ascii="Verdana" w:hAnsi="Verdana" w:cs="Verdana"/>
          <w:b/>
          <w:lang w:val="en-GB"/>
        </w:rPr>
        <w:t>6 x 2 bedroom house (3 shared ownership, 3</w:t>
      </w:r>
      <w:r w:rsidR="00274DBA" w:rsidRPr="00651EB2">
        <w:rPr>
          <w:rFonts w:ascii="Verdana" w:hAnsi="Verdana" w:cs="Verdana"/>
          <w:b/>
          <w:lang w:val="en-GB"/>
        </w:rPr>
        <w:t xml:space="preserve"> rent)</w:t>
      </w:r>
    </w:p>
    <w:p w:rsidR="00740B75" w:rsidRPr="00651EB2" w:rsidRDefault="001E7B8B" w:rsidP="00CF3EE9">
      <w:pPr>
        <w:rPr>
          <w:rFonts w:ascii="Verdana" w:hAnsi="Verdana" w:cs="Verdana"/>
          <w:lang w:val="en-GB"/>
        </w:rPr>
      </w:pPr>
      <w:r>
        <w:rPr>
          <w:rFonts w:ascii="Verdana" w:hAnsi="Verdana" w:cs="Verdana"/>
          <w:lang w:val="en-GB"/>
        </w:rPr>
        <w:t>12</w:t>
      </w:r>
      <w:r w:rsidR="00417F7F" w:rsidRPr="00651EB2">
        <w:rPr>
          <w:rFonts w:ascii="Verdana" w:hAnsi="Verdana" w:cs="Verdana"/>
          <w:lang w:val="en-GB"/>
        </w:rPr>
        <w:t xml:space="preserve"> respondents</w:t>
      </w:r>
      <w:r>
        <w:rPr>
          <w:rFonts w:ascii="Verdana" w:hAnsi="Verdana" w:cs="Verdana"/>
          <w:lang w:val="en-GB"/>
        </w:rPr>
        <w:t>, made up of 5 families, 1</w:t>
      </w:r>
      <w:r w:rsidR="00651EB2">
        <w:rPr>
          <w:rFonts w:ascii="Verdana" w:hAnsi="Verdana" w:cs="Verdana"/>
          <w:lang w:val="en-GB"/>
        </w:rPr>
        <w:t xml:space="preserve"> o</w:t>
      </w:r>
      <w:r w:rsidR="00DD59DA" w:rsidRPr="00651EB2">
        <w:rPr>
          <w:rFonts w:ascii="Verdana" w:hAnsi="Verdana" w:cs="Verdana"/>
          <w:lang w:val="en-GB"/>
        </w:rPr>
        <w:t>lder single adult / couple</w:t>
      </w:r>
      <w:r w:rsidR="00651EB2">
        <w:rPr>
          <w:rFonts w:ascii="Verdana" w:hAnsi="Verdana" w:cs="Verdana"/>
          <w:lang w:val="en-GB"/>
        </w:rPr>
        <w:t>s</w:t>
      </w:r>
      <w:r w:rsidR="00DD59DA" w:rsidRPr="00651EB2">
        <w:rPr>
          <w:rFonts w:ascii="Verdana" w:hAnsi="Verdana" w:cs="Verdana"/>
          <w:lang w:val="en-GB"/>
        </w:rPr>
        <w:t xml:space="preserve"> and </w:t>
      </w:r>
      <w:r>
        <w:rPr>
          <w:rFonts w:ascii="Verdana" w:hAnsi="Verdana" w:cs="Verdana"/>
          <w:lang w:val="en-GB"/>
        </w:rPr>
        <w:t>6</w:t>
      </w:r>
      <w:r w:rsidR="00DD59DA" w:rsidRPr="00651EB2">
        <w:rPr>
          <w:rFonts w:ascii="Verdana" w:hAnsi="Verdana" w:cs="Verdana"/>
          <w:lang w:val="en-GB"/>
        </w:rPr>
        <w:t xml:space="preserve"> young single adult / couples wer</w:t>
      </w:r>
      <w:r w:rsidR="00651EB2">
        <w:rPr>
          <w:rFonts w:ascii="Verdana" w:hAnsi="Verdana" w:cs="Verdana"/>
          <w:lang w:val="en-GB"/>
        </w:rPr>
        <w:t>e looking for a 2 bedroom house.  P</w:t>
      </w:r>
      <w:r w:rsidR="00DD59DA" w:rsidRPr="00651EB2">
        <w:rPr>
          <w:rFonts w:ascii="Verdana" w:hAnsi="Verdana" w:cs="Verdana"/>
          <w:lang w:val="en-GB"/>
        </w:rPr>
        <w:t>redominantly as first time buyers wanting to get on the property ladder</w:t>
      </w:r>
      <w:r w:rsidR="00B60972">
        <w:rPr>
          <w:rFonts w:ascii="Verdana" w:hAnsi="Verdana" w:cs="Verdana"/>
          <w:lang w:val="en-GB"/>
        </w:rPr>
        <w:t xml:space="preserve"> or move out of the family home</w:t>
      </w:r>
      <w:r w:rsidR="00DD59DA" w:rsidRPr="00651EB2">
        <w:rPr>
          <w:rFonts w:ascii="Verdana" w:hAnsi="Verdana" w:cs="Verdana"/>
          <w:lang w:val="en-GB"/>
        </w:rPr>
        <w:t xml:space="preserve"> but also in a couple of cases because they were at risk of losing their current home.  </w:t>
      </w:r>
      <w:r w:rsidR="00B60972">
        <w:rPr>
          <w:rFonts w:ascii="Verdana" w:hAnsi="Verdana" w:cs="Verdana"/>
          <w:lang w:val="en-GB"/>
        </w:rPr>
        <w:t>6</w:t>
      </w:r>
      <w:r w:rsidR="00DD59DA" w:rsidRPr="00651EB2">
        <w:rPr>
          <w:rFonts w:ascii="Verdana" w:hAnsi="Verdana" w:cs="Verdana"/>
          <w:lang w:val="en-GB"/>
        </w:rPr>
        <w:t xml:space="preserve"> of these were lo</w:t>
      </w:r>
      <w:r w:rsidR="00B60972">
        <w:rPr>
          <w:rFonts w:ascii="Verdana" w:hAnsi="Verdana" w:cs="Verdana"/>
          <w:lang w:val="en-GB"/>
        </w:rPr>
        <w:t>oking for</w:t>
      </w:r>
      <w:r w:rsidR="00CD1362">
        <w:rPr>
          <w:rFonts w:ascii="Verdana" w:hAnsi="Verdana" w:cs="Verdana"/>
          <w:lang w:val="en-GB"/>
        </w:rPr>
        <w:t xml:space="preserve"> a</w:t>
      </w:r>
      <w:r w:rsidR="00B60972">
        <w:rPr>
          <w:rFonts w:ascii="Verdana" w:hAnsi="Verdana" w:cs="Verdana"/>
          <w:lang w:val="en-GB"/>
        </w:rPr>
        <w:t xml:space="preserve"> shared ownership</w:t>
      </w:r>
      <w:r w:rsidR="00CD1362">
        <w:rPr>
          <w:rFonts w:ascii="Verdana" w:hAnsi="Verdana" w:cs="Verdana"/>
          <w:lang w:val="en-GB"/>
        </w:rPr>
        <w:t xml:space="preserve"> property</w:t>
      </w:r>
      <w:r w:rsidR="00B60972">
        <w:rPr>
          <w:rFonts w:ascii="Verdana" w:hAnsi="Verdana" w:cs="Verdana"/>
          <w:lang w:val="en-GB"/>
        </w:rPr>
        <w:t xml:space="preserve"> and 6</w:t>
      </w:r>
      <w:r w:rsidR="00DD59DA" w:rsidRPr="00651EB2">
        <w:rPr>
          <w:rFonts w:ascii="Verdana" w:hAnsi="Verdana" w:cs="Verdana"/>
          <w:lang w:val="en-GB"/>
        </w:rPr>
        <w:t xml:space="preserve"> were looking for rented.  </w:t>
      </w:r>
    </w:p>
    <w:p w:rsidR="00274DBA" w:rsidRPr="00651EB2" w:rsidRDefault="00274DBA" w:rsidP="00CF3EE9">
      <w:pPr>
        <w:rPr>
          <w:rFonts w:ascii="Verdana" w:hAnsi="Verdana" w:cs="Verdana"/>
          <w:lang w:val="en-GB"/>
        </w:rPr>
      </w:pPr>
    </w:p>
    <w:p w:rsidR="00274DBA" w:rsidRPr="00651EB2" w:rsidRDefault="00B60972" w:rsidP="00CF3EE9">
      <w:pPr>
        <w:rPr>
          <w:rFonts w:ascii="Verdana" w:hAnsi="Verdana" w:cs="Verdana"/>
          <w:b/>
          <w:lang w:val="en-GB"/>
        </w:rPr>
      </w:pPr>
      <w:r>
        <w:rPr>
          <w:rFonts w:ascii="Verdana" w:hAnsi="Verdana" w:cs="Verdana"/>
          <w:b/>
          <w:lang w:val="en-GB"/>
        </w:rPr>
        <w:t>3</w:t>
      </w:r>
      <w:r w:rsidR="00274DBA" w:rsidRPr="00651EB2">
        <w:rPr>
          <w:rFonts w:ascii="Verdana" w:hAnsi="Verdana" w:cs="Verdana"/>
          <w:b/>
          <w:lang w:val="en-GB"/>
        </w:rPr>
        <w:t xml:space="preserve"> x </w:t>
      </w:r>
      <w:r>
        <w:rPr>
          <w:rFonts w:ascii="Verdana" w:hAnsi="Verdana" w:cs="Verdana"/>
          <w:b/>
          <w:lang w:val="en-GB"/>
        </w:rPr>
        <w:t>3</w:t>
      </w:r>
      <w:r w:rsidR="00274DBA" w:rsidRPr="00651EB2">
        <w:rPr>
          <w:rFonts w:ascii="Verdana" w:hAnsi="Verdana" w:cs="Verdana"/>
          <w:b/>
          <w:lang w:val="en-GB"/>
        </w:rPr>
        <w:t xml:space="preserve"> bedroom house (</w:t>
      </w:r>
      <w:r>
        <w:rPr>
          <w:rFonts w:ascii="Verdana" w:hAnsi="Verdana" w:cs="Verdana"/>
          <w:b/>
          <w:lang w:val="en-GB"/>
        </w:rPr>
        <w:t xml:space="preserve">2 shared ownership / 1 </w:t>
      </w:r>
      <w:r w:rsidR="00274DBA" w:rsidRPr="00651EB2">
        <w:rPr>
          <w:rFonts w:ascii="Verdana" w:hAnsi="Verdana" w:cs="Verdana"/>
          <w:b/>
          <w:lang w:val="en-GB"/>
        </w:rPr>
        <w:t>rent)</w:t>
      </w:r>
    </w:p>
    <w:p w:rsidR="00DD59DA" w:rsidRPr="00651EB2" w:rsidRDefault="00B60972" w:rsidP="00CF3EE9">
      <w:pPr>
        <w:rPr>
          <w:rFonts w:ascii="Verdana" w:hAnsi="Verdana" w:cs="Verdana"/>
          <w:lang w:val="en-GB"/>
        </w:rPr>
      </w:pPr>
      <w:r>
        <w:rPr>
          <w:rFonts w:ascii="Verdana" w:hAnsi="Verdana" w:cs="Verdana"/>
          <w:lang w:val="en-GB"/>
        </w:rPr>
        <w:t>7</w:t>
      </w:r>
      <w:r w:rsidR="00DD59DA" w:rsidRPr="00651EB2">
        <w:rPr>
          <w:rFonts w:ascii="Verdana" w:hAnsi="Verdana" w:cs="Verdana"/>
          <w:lang w:val="en-GB"/>
        </w:rPr>
        <w:t xml:space="preserve"> Respondents</w:t>
      </w:r>
      <w:r w:rsidR="00A91B15">
        <w:rPr>
          <w:rFonts w:ascii="Verdana" w:hAnsi="Verdana" w:cs="Verdana"/>
          <w:lang w:val="en-GB"/>
        </w:rPr>
        <w:t>, all families with dependent children,</w:t>
      </w:r>
      <w:r w:rsidR="00DD59DA" w:rsidRPr="00651EB2">
        <w:rPr>
          <w:rFonts w:ascii="Verdana" w:hAnsi="Verdana" w:cs="Verdana"/>
          <w:lang w:val="en-GB"/>
        </w:rPr>
        <w:t xml:space="preserve"> were looking for a </w:t>
      </w:r>
      <w:r>
        <w:rPr>
          <w:rFonts w:ascii="Verdana" w:hAnsi="Verdana" w:cs="Verdana"/>
          <w:lang w:val="en-GB"/>
        </w:rPr>
        <w:t>3</w:t>
      </w:r>
      <w:r w:rsidR="00DD59DA" w:rsidRPr="00651EB2">
        <w:rPr>
          <w:rFonts w:ascii="Verdana" w:hAnsi="Verdana" w:cs="Verdana"/>
          <w:lang w:val="en-GB"/>
        </w:rPr>
        <w:t xml:space="preserve"> bedroom property house.</w:t>
      </w:r>
      <w:r>
        <w:rPr>
          <w:rFonts w:ascii="Verdana" w:hAnsi="Verdana" w:cs="Verdana"/>
          <w:lang w:val="en-GB"/>
        </w:rPr>
        <w:t xml:space="preserve"> </w:t>
      </w:r>
      <w:r w:rsidR="00A91B15">
        <w:rPr>
          <w:rFonts w:ascii="Verdana" w:hAnsi="Verdana" w:cs="Verdana"/>
          <w:lang w:val="en-GB"/>
        </w:rPr>
        <w:t xml:space="preserve">4 were looking for shared ownership, 3 were looking for rented.  </w:t>
      </w:r>
      <w:r>
        <w:rPr>
          <w:rFonts w:ascii="Verdana" w:hAnsi="Verdana" w:cs="Verdana"/>
          <w:lang w:val="en-GB"/>
        </w:rPr>
        <w:t xml:space="preserve"> </w:t>
      </w:r>
      <w:r w:rsidR="00DD59DA" w:rsidRPr="00651EB2">
        <w:rPr>
          <w:rFonts w:ascii="Verdana" w:hAnsi="Verdana" w:cs="Verdana"/>
          <w:lang w:val="en-GB"/>
        </w:rPr>
        <w:t xml:space="preserve">   </w:t>
      </w:r>
    </w:p>
    <w:p w:rsidR="00274DBA" w:rsidRPr="00651EB2" w:rsidRDefault="00274DBA" w:rsidP="00CF3EE9">
      <w:pPr>
        <w:rPr>
          <w:rFonts w:ascii="Verdana" w:hAnsi="Verdana" w:cs="Verdana"/>
          <w:lang w:val="en-GB"/>
        </w:rPr>
      </w:pPr>
    </w:p>
    <w:p w:rsidR="00274DBA" w:rsidRPr="00651EB2" w:rsidRDefault="00274DBA" w:rsidP="00CF3EE9">
      <w:pPr>
        <w:rPr>
          <w:rFonts w:ascii="Verdana" w:hAnsi="Verdana" w:cs="Verdana"/>
          <w:b/>
          <w:lang w:val="en-GB"/>
        </w:rPr>
      </w:pPr>
      <w:r w:rsidRPr="00651EB2">
        <w:rPr>
          <w:rFonts w:ascii="Verdana" w:hAnsi="Verdana" w:cs="Verdana"/>
          <w:b/>
          <w:lang w:val="en-GB"/>
        </w:rPr>
        <w:t>3 x</w:t>
      </w:r>
      <w:r w:rsidR="00A91B15">
        <w:rPr>
          <w:rFonts w:ascii="Verdana" w:hAnsi="Verdana" w:cs="Verdana"/>
          <w:b/>
          <w:lang w:val="en-GB"/>
        </w:rPr>
        <w:t xml:space="preserve"> 2</w:t>
      </w:r>
      <w:r w:rsidRPr="00651EB2">
        <w:rPr>
          <w:rFonts w:ascii="Verdana" w:hAnsi="Verdana" w:cs="Verdana"/>
          <w:b/>
          <w:lang w:val="en-GB"/>
        </w:rPr>
        <w:t xml:space="preserve"> bedroom </w:t>
      </w:r>
      <w:r w:rsidR="00A91B15">
        <w:rPr>
          <w:rFonts w:ascii="Verdana" w:hAnsi="Verdana" w:cs="Verdana"/>
          <w:b/>
          <w:lang w:val="en-GB"/>
        </w:rPr>
        <w:t>bungalow</w:t>
      </w:r>
      <w:r w:rsidRPr="00651EB2">
        <w:rPr>
          <w:rFonts w:ascii="Verdana" w:hAnsi="Verdana" w:cs="Verdana"/>
          <w:b/>
          <w:lang w:val="en-GB"/>
        </w:rPr>
        <w:t xml:space="preserve"> (1 shared ownership</w:t>
      </w:r>
      <w:r w:rsidR="00A91B15">
        <w:rPr>
          <w:rFonts w:ascii="Verdana" w:hAnsi="Verdana" w:cs="Verdana"/>
          <w:b/>
          <w:lang w:val="en-GB"/>
        </w:rPr>
        <w:t>, 2 rent</w:t>
      </w:r>
      <w:r w:rsidRPr="00651EB2">
        <w:rPr>
          <w:rFonts w:ascii="Verdana" w:hAnsi="Verdana" w:cs="Verdana"/>
          <w:b/>
          <w:lang w:val="en-GB"/>
        </w:rPr>
        <w:t>)</w:t>
      </w:r>
    </w:p>
    <w:p w:rsidR="00DD59DA" w:rsidRPr="00651EB2" w:rsidRDefault="00A91B15" w:rsidP="00CF3EE9">
      <w:pPr>
        <w:rPr>
          <w:rFonts w:ascii="Verdana" w:hAnsi="Verdana" w:cs="Verdana"/>
          <w:lang w:val="en-GB"/>
        </w:rPr>
      </w:pPr>
      <w:r>
        <w:rPr>
          <w:rFonts w:ascii="Verdana" w:hAnsi="Verdana" w:cs="Verdana"/>
          <w:lang w:val="en-GB"/>
        </w:rPr>
        <w:t>7</w:t>
      </w:r>
      <w:r w:rsidR="00CF59AF" w:rsidRPr="00651EB2">
        <w:rPr>
          <w:rFonts w:ascii="Verdana" w:hAnsi="Verdana" w:cs="Verdana"/>
          <w:lang w:val="en-GB"/>
        </w:rPr>
        <w:t xml:space="preserve"> respondents</w:t>
      </w:r>
      <w:r w:rsidR="00861F71" w:rsidRPr="00651EB2">
        <w:rPr>
          <w:rFonts w:ascii="Verdana" w:hAnsi="Verdana" w:cs="Verdana"/>
          <w:lang w:val="en-GB"/>
        </w:rPr>
        <w:t xml:space="preserve">, all </w:t>
      </w:r>
      <w:r w:rsidR="00170D24">
        <w:rPr>
          <w:rFonts w:ascii="Verdana" w:hAnsi="Verdana" w:cs="Verdana"/>
          <w:lang w:val="en-GB"/>
        </w:rPr>
        <w:t>older single adult / couples</w:t>
      </w:r>
      <w:r w:rsidR="00861F71" w:rsidRPr="00651EB2">
        <w:rPr>
          <w:rFonts w:ascii="Verdana" w:hAnsi="Verdana" w:cs="Verdana"/>
          <w:lang w:val="en-GB"/>
        </w:rPr>
        <w:t xml:space="preserve"> were looking </w:t>
      </w:r>
      <w:r w:rsidR="00CE06C6">
        <w:rPr>
          <w:rFonts w:ascii="Verdana" w:hAnsi="Verdana" w:cs="Verdana"/>
          <w:lang w:val="en-GB"/>
        </w:rPr>
        <w:t>for homes that would be more suitable in retirement</w:t>
      </w:r>
      <w:r w:rsidR="00861F71" w:rsidRPr="00651EB2">
        <w:rPr>
          <w:rFonts w:ascii="Verdana" w:hAnsi="Verdana" w:cs="Verdana"/>
          <w:lang w:val="en-GB"/>
        </w:rPr>
        <w:t xml:space="preserve">. </w:t>
      </w:r>
      <w:r w:rsidR="00CE06C6">
        <w:rPr>
          <w:rFonts w:ascii="Verdana" w:hAnsi="Verdana" w:cs="Verdana"/>
          <w:lang w:val="en-GB"/>
        </w:rPr>
        <w:t>3</w:t>
      </w:r>
      <w:r w:rsidR="00861F71" w:rsidRPr="00651EB2">
        <w:rPr>
          <w:rFonts w:ascii="Verdana" w:hAnsi="Verdana" w:cs="Verdana"/>
          <w:lang w:val="en-GB"/>
        </w:rPr>
        <w:t xml:space="preserve"> were looking for </w:t>
      </w:r>
      <w:r w:rsidR="00CE06C6">
        <w:rPr>
          <w:rFonts w:ascii="Verdana" w:hAnsi="Verdana" w:cs="Verdana"/>
          <w:lang w:val="en-GB"/>
        </w:rPr>
        <w:t>s</w:t>
      </w:r>
      <w:r w:rsidR="00861F71" w:rsidRPr="00651EB2">
        <w:rPr>
          <w:rFonts w:ascii="Verdana" w:hAnsi="Verdana" w:cs="Verdana"/>
          <w:lang w:val="en-GB"/>
        </w:rPr>
        <w:t>hared ownership</w:t>
      </w:r>
      <w:r w:rsidR="00CE06C6">
        <w:rPr>
          <w:rFonts w:ascii="Verdana" w:hAnsi="Verdana" w:cs="Verdana"/>
          <w:lang w:val="en-GB"/>
        </w:rPr>
        <w:t xml:space="preserve"> properties and 1 for rented</w:t>
      </w:r>
      <w:r w:rsidR="00861F71" w:rsidRPr="00651EB2">
        <w:rPr>
          <w:rFonts w:ascii="Verdana" w:hAnsi="Verdana" w:cs="Verdana"/>
          <w:lang w:val="en-GB"/>
        </w:rPr>
        <w:t>.</w:t>
      </w:r>
      <w:r w:rsidR="00CF59AF" w:rsidRPr="00651EB2">
        <w:rPr>
          <w:rFonts w:ascii="Verdana" w:hAnsi="Verdana" w:cs="Verdana"/>
          <w:lang w:val="en-GB"/>
        </w:rPr>
        <w:t xml:space="preserve"> </w:t>
      </w:r>
    </w:p>
    <w:p w:rsidR="00274DBA" w:rsidRPr="00651EB2" w:rsidRDefault="00274DBA" w:rsidP="00CF3EE9">
      <w:pPr>
        <w:rPr>
          <w:rFonts w:ascii="Verdana" w:hAnsi="Verdana" w:cs="Verdana"/>
          <w:lang w:val="en-GB"/>
        </w:rPr>
      </w:pPr>
    </w:p>
    <w:p w:rsidR="00C31889" w:rsidRPr="00651EB2" w:rsidRDefault="00C31889" w:rsidP="00906125">
      <w:pPr>
        <w:rPr>
          <w:rFonts w:ascii="Verdana" w:hAnsi="Verdana" w:cs="Verdana"/>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651EB2" w:rsidRDefault="00651EB2" w:rsidP="00906125">
      <w:pPr>
        <w:rPr>
          <w:rFonts w:ascii="Verdana" w:hAnsi="Verdana" w:cs="Verdana"/>
          <w:b/>
          <w:lang w:val="en-GB"/>
        </w:rPr>
      </w:pPr>
    </w:p>
    <w:p w:rsidR="007E2C74" w:rsidRDefault="007E2C74" w:rsidP="00906125">
      <w:pPr>
        <w:rPr>
          <w:rFonts w:ascii="Verdana" w:hAnsi="Verdana" w:cs="Verdana"/>
          <w:b/>
          <w:lang w:val="en-GB"/>
        </w:rPr>
      </w:pPr>
    </w:p>
    <w:p w:rsidR="00C31889" w:rsidRPr="00651EB2" w:rsidRDefault="000B69CA" w:rsidP="00906125">
      <w:pPr>
        <w:rPr>
          <w:rFonts w:ascii="Verdana" w:hAnsi="Verdana" w:cs="Verdana"/>
          <w:b/>
          <w:lang w:val="en-GB"/>
        </w:rPr>
      </w:pPr>
      <w:r w:rsidRPr="00651EB2">
        <w:rPr>
          <w:rFonts w:ascii="Verdana" w:hAnsi="Verdana" w:cs="Verdana"/>
          <w:b/>
          <w:lang w:val="en-GB"/>
        </w:rPr>
        <w:t>8</w:t>
      </w:r>
      <w:r w:rsidR="00C31889" w:rsidRPr="00651EB2">
        <w:rPr>
          <w:rFonts w:ascii="Verdana" w:hAnsi="Verdana" w:cs="Verdana"/>
          <w:b/>
          <w:lang w:val="en-GB"/>
        </w:rPr>
        <w:t>.2</w:t>
      </w:r>
      <w:r w:rsidR="00C31889" w:rsidRPr="00651EB2">
        <w:rPr>
          <w:rFonts w:ascii="Verdana" w:hAnsi="Verdana" w:cs="Verdana"/>
          <w:b/>
          <w:lang w:val="en-GB"/>
        </w:rPr>
        <w:tab/>
        <w:t>Market housing</w:t>
      </w:r>
      <w:r w:rsidR="00C31889" w:rsidRPr="00651EB2">
        <w:rPr>
          <w:rFonts w:ascii="Verdana" w:hAnsi="Verdana" w:cs="Verdana"/>
          <w:b/>
          <w:lang w:val="en-GB"/>
        </w:rPr>
        <w:tab/>
      </w:r>
    </w:p>
    <w:p w:rsidR="00C31889" w:rsidRPr="00651EB2" w:rsidRDefault="00C31889" w:rsidP="00906125">
      <w:pPr>
        <w:rPr>
          <w:rFonts w:ascii="Verdana" w:hAnsi="Verdana" w:cs="Verdana"/>
          <w:lang w:val="en-GB"/>
        </w:rPr>
      </w:pPr>
    </w:p>
    <w:p w:rsidR="00127718" w:rsidRPr="00651EB2" w:rsidRDefault="00906125" w:rsidP="00906125">
      <w:pPr>
        <w:rPr>
          <w:rFonts w:ascii="Verdana" w:hAnsi="Verdana" w:cs="Verdana"/>
          <w:lang w:val="en-GB"/>
        </w:rPr>
      </w:pPr>
      <w:r w:rsidRPr="00651EB2">
        <w:rPr>
          <w:rFonts w:ascii="Verdana" w:hAnsi="Verdana" w:cs="Verdana"/>
          <w:lang w:val="en-GB"/>
        </w:rPr>
        <w:t xml:space="preserve">Analysis of the responses considered in Chapter </w:t>
      </w:r>
      <w:r w:rsidR="000B69CA" w:rsidRPr="00651EB2">
        <w:rPr>
          <w:rFonts w:ascii="Verdana" w:hAnsi="Verdana" w:cs="Verdana"/>
          <w:lang w:val="en-GB"/>
        </w:rPr>
        <w:t>7</w:t>
      </w:r>
      <w:r w:rsidRPr="00651EB2">
        <w:rPr>
          <w:rFonts w:ascii="Verdana" w:hAnsi="Verdana" w:cs="Verdana"/>
          <w:lang w:val="en-GB"/>
        </w:rPr>
        <w:t>, and other</w:t>
      </w:r>
      <w:r w:rsidR="00CF3EE9" w:rsidRPr="00651EB2">
        <w:rPr>
          <w:rFonts w:ascii="Verdana" w:hAnsi="Verdana" w:cs="Verdana"/>
          <w:lang w:val="en-GB"/>
        </w:rPr>
        <w:t xml:space="preserve"> evidence considered in chapter</w:t>
      </w:r>
      <w:r w:rsidR="000B69CA" w:rsidRPr="00651EB2">
        <w:rPr>
          <w:rFonts w:ascii="Verdana" w:hAnsi="Verdana" w:cs="Verdana"/>
          <w:lang w:val="en-GB"/>
        </w:rPr>
        <w:t>s</w:t>
      </w:r>
      <w:r w:rsidRPr="00651EB2">
        <w:rPr>
          <w:rFonts w:ascii="Verdana" w:hAnsi="Verdana" w:cs="Verdana"/>
          <w:lang w:val="en-GB"/>
        </w:rPr>
        <w:t xml:space="preserve"> 2</w:t>
      </w:r>
      <w:r w:rsidR="000B69CA" w:rsidRPr="00651EB2">
        <w:rPr>
          <w:rFonts w:ascii="Verdana" w:hAnsi="Verdana" w:cs="Verdana"/>
          <w:lang w:val="en-GB"/>
        </w:rPr>
        <w:t xml:space="preserve"> and 3</w:t>
      </w:r>
      <w:r w:rsidRPr="00651EB2">
        <w:rPr>
          <w:rFonts w:ascii="Verdana" w:hAnsi="Verdana" w:cs="Verdana"/>
          <w:lang w:val="en-GB"/>
        </w:rPr>
        <w:t xml:space="preserve">, suggests that there is a need for </w:t>
      </w:r>
      <w:r w:rsidR="00C204B6" w:rsidRPr="00651EB2">
        <w:rPr>
          <w:rFonts w:ascii="Verdana" w:hAnsi="Verdana" w:cs="Verdana"/>
          <w:b/>
          <w:lang w:val="en-GB"/>
        </w:rPr>
        <w:t>2-3 bed</w:t>
      </w:r>
      <w:r w:rsidR="00E25C62">
        <w:rPr>
          <w:rFonts w:ascii="Verdana" w:hAnsi="Verdana" w:cs="Verdana"/>
          <w:b/>
          <w:lang w:val="en-GB"/>
        </w:rPr>
        <w:t xml:space="preserve"> houses and</w:t>
      </w:r>
      <w:r w:rsidR="00AB4A86" w:rsidRPr="00651EB2">
        <w:rPr>
          <w:rFonts w:ascii="Verdana" w:hAnsi="Verdana" w:cs="Verdana"/>
          <w:b/>
          <w:lang w:val="en-GB"/>
        </w:rPr>
        <w:t xml:space="preserve"> </w:t>
      </w:r>
      <w:r w:rsidR="00C204B6" w:rsidRPr="00651EB2">
        <w:rPr>
          <w:rFonts w:ascii="Verdana" w:hAnsi="Verdana" w:cs="Verdana"/>
          <w:b/>
          <w:lang w:val="en-GB"/>
        </w:rPr>
        <w:t>bungalows</w:t>
      </w:r>
      <w:r w:rsidR="00127718" w:rsidRPr="00651EB2">
        <w:rPr>
          <w:rFonts w:ascii="Verdana" w:hAnsi="Verdana" w:cs="Verdana"/>
          <w:lang w:val="en-GB"/>
        </w:rPr>
        <w:t xml:space="preserve"> </w:t>
      </w:r>
      <w:r w:rsidR="00C204B6" w:rsidRPr="00651EB2">
        <w:rPr>
          <w:rFonts w:ascii="Verdana" w:hAnsi="Verdana" w:cs="Verdana"/>
          <w:lang w:val="en-GB"/>
        </w:rPr>
        <w:t xml:space="preserve">or </w:t>
      </w:r>
      <w:r w:rsidR="00CF3EE9" w:rsidRPr="00651EB2">
        <w:rPr>
          <w:rFonts w:ascii="Verdana" w:hAnsi="Verdana" w:cs="Verdana"/>
          <w:lang w:val="en-GB"/>
        </w:rPr>
        <w:t xml:space="preserve">otherwise suitable </w:t>
      </w:r>
      <w:r w:rsidR="00C204B6" w:rsidRPr="00651EB2">
        <w:rPr>
          <w:rFonts w:ascii="Verdana" w:hAnsi="Verdana" w:cs="Verdana"/>
          <w:lang w:val="en-GB"/>
        </w:rPr>
        <w:t>properties (e.g. houses built to Lifetime Homes criteria)</w:t>
      </w:r>
      <w:r w:rsidR="00C204B6" w:rsidRPr="00651EB2">
        <w:rPr>
          <w:rFonts w:ascii="Verdana" w:hAnsi="Verdana" w:cs="Verdana"/>
          <w:b/>
          <w:lang w:val="en-GB"/>
        </w:rPr>
        <w:t xml:space="preserve"> </w:t>
      </w:r>
      <w:r w:rsidRPr="00651EB2">
        <w:rPr>
          <w:rFonts w:ascii="Verdana" w:hAnsi="Verdana" w:cs="Verdana"/>
          <w:lang w:val="en-GB"/>
        </w:rPr>
        <w:t xml:space="preserve">if </w:t>
      </w:r>
      <w:r w:rsidR="00A20363">
        <w:rPr>
          <w:rFonts w:ascii="Verdana" w:hAnsi="Verdana" w:cs="Verdana"/>
          <w:lang w:val="en-GB"/>
        </w:rPr>
        <w:t>Oakley</w:t>
      </w:r>
      <w:r w:rsidRPr="00651EB2">
        <w:rPr>
          <w:rFonts w:ascii="Verdana" w:hAnsi="Verdana" w:cs="Verdana"/>
          <w:lang w:val="en-GB"/>
        </w:rPr>
        <w:t xml:space="preserve"> is to meet the </w:t>
      </w:r>
      <w:r w:rsidR="00AB4A86" w:rsidRPr="00651EB2">
        <w:rPr>
          <w:rFonts w:ascii="Verdana" w:hAnsi="Verdana" w:cs="Verdana"/>
          <w:lang w:val="en-GB"/>
        </w:rPr>
        <w:t xml:space="preserve">identified </w:t>
      </w:r>
      <w:r w:rsidRPr="00651EB2">
        <w:rPr>
          <w:rFonts w:ascii="Verdana" w:hAnsi="Verdana" w:cs="Verdana"/>
          <w:lang w:val="en-GB"/>
        </w:rPr>
        <w:t xml:space="preserve">current and future needs of existing </w:t>
      </w:r>
      <w:r w:rsidR="00C204B6" w:rsidRPr="00651EB2">
        <w:rPr>
          <w:rFonts w:ascii="Verdana" w:hAnsi="Verdana" w:cs="Verdana"/>
          <w:lang w:val="en-GB"/>
        </w:rPr>
        <w:t xml:space="preserve">owner occupier </w:t>
      </w:r>
      <w:r w:rsidRPr="00651EB2">
        <w:rPr>
          <w:rFonts w:ascii="Verdana" w:hAnsi="Verdana" w:cs="Verdana"/>
          <w:lang w:val="en-GB"/>
        </w:rPr>
        <w:t xml:space="preserve">residents wishing to stay in the village. </w:t>
      </w:r>
      <w:r w:rsidR="00C204B6" w:rsidRPr="00651EB2">
        <w:rPr>
          <w:rFonts w:ascii="Verdana" w:hAnsi="Verdana" w:cs="Verdana"/>
          <w:lang w:val="en-GB"/>
        </w:rPr>
        <w:t xml:space="preserve"> </w:t>
      </w:r>
    </w:p>
    <w:p w:rsidR="00127718" w:rsidRPr="00651EB2" w:rsidRDefault="00127718" w:rsidP="00906125">
      <w:pPr>
        <w:rPr>
          <w:rFonts w:ascii="Verdana" w:hAnsi="Verdana" w:cs="Verdana"/>
          <w:lang w:val="en-GB"/>
        </w:rPr>
      </w:pPr>
    </w:p>
    <w:p w:rsidR="00906125" w:rsidRPr="00651EB2" w:rsidRDefault="00906125" w:rsidP="00906125">
      <w:pPr>
        <w:rPr>
          <w:rFonts w:ascii="Verdana" w:hAnsi="Verdana" w:cs="Verdana"/>
          <w:lang w:val="en-GB"/>
        </w:rPr>
      </w:pPr>
      <w:r w:rsidRPr="00651EB2">
        <w:rPr>
          <w:rFonts w:ascii="Verdana" w:hAnsi="Verdana" w:cs="Verdana"/>
          <w:lang w:val="en-GB"/>
        </w:rPr>
        <w:t>The evidence for this is as follows:</w:t>
      </w:r>
    </w:p>
    <w:p w:rsidR="009D2C89" w:rsidRPr="00651EB2" w:rsidRDefault="009D2C89" w:rsidP="00906125">
      <w:pPr>
        <w:rPr>
          <w:rFonts w:ascii="Verdana" w:hAnsi="Verdana" w:cs="Verdana"/>
          <w:b/>
          <w:bCs/>
          <w:color w:val="FF0000"/>
          <w:lang w:val="en-GB"/>
        </w:rPr>
      </w:pPr>
    </w:p>
    <w:p w:rsidR="00AB4A86" w:rsidRPr="00651EB2" w:rsidRDefault="003F56DE" w:rsidP="003F56DE">
      <w:pPr>
        <w:numPr>
          <w:ilvl w:val="0"/>
          <w:numId w:val="1"/>
        </w:numPr>
        <w:rPr>
          <w:rFonts w:ascii="Verdana" w:hAnsi="Verdana" w:cs="Verdana"/>
          <w:bCs/>
          <w:lang w:val="en-GB"/>
        </w:rPr>
      </w:pPr>
      <w:r w:rsidRPr="00651EB2">
        <w:rPr>
          <w:rFonts w:ascii="Verdana" w:hAnsi="Verdana" w:cs="Verdana"/>
          <w:bCs/>
          <w:lang w:val="en-GB"/>
        </w:rPr>
        <w:t xml:space="preserve">The </w:t>
      </w:r>
      <w:r w:rsidR="00A84113">
        <w:rPr>
          <w:rFonts w:ascii="Verdana" w:hAnsi="Verdana" w:cs="Verdana"/>
          <w:bCs/>
          <w:lang w:val="en-GB"/>
        </w:rPr>
        <w:t>17</w:t>
      </w:r>
      <w:r w:rsidRPr="00651EB2">
        <w:rPr>
          <w:rFonts w:ascii="Verdana" w:hAnsi="Verdana" w:cs="Verdana"/>
          <w:bCs/>
          <w:lang w:val="en-GB"/>
        </w:rPr>
        <w:t xml:space="preserve"> families with dependent child(ren) or other dependent(s)</w:t>
      </w:r>
      <w:r w:rsidR="00611740" w:rsidRPr="00651EB2">
        <w:rPr>
          <w:rFonts w:ascii="Verdana" w:hAnsi="Verdana" w:cs="Verdana"/>
          <w:bCs/>
          <w:lang w:val="en-GB"/>
        </w:rPr>
        <w:t xml:space="preserve"> looking for a property to purchase on the open market at some point over the next 20 years.</w:t>
      </w:r>
    </w:p>
    <w:p w:rsidR="00EB01A0" w:rsidRDefault="00611740" w:rsidP="009636E9">
      <w:pPr>
        <w:numPr>
          <w:ilvl w:val="0"/>
          <w:numId w:val="1"/>
        </w:numPr>
        <w:rPr>
          <w:rFonts w:ascii="Verdana" w:hAnsi="Verdana" w:cs="Verdana"/>
          <w:bCs/>
          <w:lang w:val="en-GB"/>
        </w:rPr>
      </w:pPr>
      <w:r w:rsidRPr="00651EB2">
        <w:rPr>
          <w:rFonts w:ascii="Verdana" w:hAnsi="Verdana" w:cs="Verdana"/>
          <w:bCs/>
          <w:lang w:val="en-GB"/>
        </w:rPr>
        <w:t xml:space="preserve">The </w:t>
      </w:r>
      <w:r w:rsidR="00A84113">
        <w:rPr>
          <w:rFonts w:ascii="Verdana" w:hAnsi="Verdana" w:cs="Verdana"/>
          <w:bCs/>
          <w:lang w:val="en-GB"/>
        </w:rPr>
        <w:t>36</w:t>
      </w:r>
      <w:r w:rsidR="009636E9" w:rsidRPr="00651EB2">
        <w:rPr>
          <w:rFonts w:ascii="Verdana" w:hAnsi="Verdana" w:cs="Verdana"/>
          <w:bCs/>
          <w:lang w:val="en-GB"/>
        </w:rPr>
        <w:t xml:space="preserve"> older single person / couple without dependent children looking for a property to purchase on the open market at some point over the next 20 years.</w:t>
      </w:r>
    </w:p>
    <w:p w:rsidR="00A84113" w:rsidRPr="00651EB2" w:rsidRDefault="00A84113" w:rsidP="009636E9">
      <w:pPr>
        <w:numPr>
          <w:ilvl w:val="0"/>
          <w:numId w:val="1"/>
        </w:numPr>
        <w:rPr>
          <w:rFonts w:ascii="Verdana" w:hAnsi="Verdana" w:cs="Verdana"/>
          <w:bCs/>
          <w:lang w:val="en-GB"/>
        </w:rPr>
      </w:pPr>
      <w:r>
        <w:rPr>
          <w:rFonts w:ascii="Verdana" w:hAnsi="Verdana" w:cs="Verdana"/>
          <w:bCs/>
          <w:lang w:val="en-GB"/>
        </w:rPr>
        <w:t xml:space="preserve">The demand for properties more suitable in retirement.  This is also demonstrated in section 2 in the aging of </w:t>
      </w:r>
      <w:r w:rsidR="00CD1362">
        <w:rPr>
          <w:rFonts w:ascii="Verdana" w:hAnsi="Verdana" w:cs="Verdana"/>
          <w:bCs/>
          <w:lang w:val="en-GB"/>
        </w:rPr>
        <w:t>Oakley’s</w:t>
      </w:r>
      <w:r>
        <w:rPr>
          <w:rFonts w:ascii="Verdana" w:hAnsi="Verdana" w:cs="Verdana"/>
          <w:bCs/>
          <w:lang w:val="en-GB"/>
        </w:rPr>
        <w:t xml:space="preserve"> population</w:t>
      </w:r>
      <w:r w:rsidR="00CD1362">
        <w:rPr>
          <w:rFonts w:ascii="Verdana" w:hAnsi="Verdana" w:cs="Verdana"/>
          <w:bCs/>
          <w:lang w:val="en-GB"/>
        </w:rPr>
        <w:t xml:space="preserve"> shown</w:t>
      </w:r>
      <w:r>
        <w:rPr>
          <w:rFonts w:ascii="Verdana" w:hAnsi="Verdana" w:cs="Verdana"/>
          <w:bCs/>
          <w:lang w:val="en-GB"/>
        </w:rPr>
        <w:t xml:space="preserve"> over the last 10 years.  </w:t>
      </w:r>
    </w:p>
    <w:p w:rsidR="00C204B6" w:rsidRPr="00651EB2" w:rsidRDefault="00C204B6" w:rsidP="00C204B6">
      <w:pPr>
        <w:ind w:left="720"/>
        <w:rPr>
          <w:rFonts w:ascii="Verdana" w:hAnsi="Verdana" w:cs="Verdana"/>
          <w:bCs/>
          <w:lang w:val="en-GB"/>
        </w:rPr>
      </w:pPr>
    </w:p>
    <w:p w:rsidR="00151158" w:rsidRPr="00651EB2" w:rsidRDefault="00151158" w:rsidP="00151158">
      <w:pPr>
        <w:rPr>
          <w:rFonts w:ascii="Verdana" w:hAnsi="Verdana" w:cs="Verdana"/>
          <w:bCs/>
          <w:lang w:val="en-GB"/>
        </w:rPr>
      </w:pPr>
      <w:r w:rsidRPr="00651EB2">
        <w:rPr>
          <w:rFonts w:ascii="Verdana" w:hAnsi="Verdana" w:cs="Verdana"/>
          <w:bCs/>
          <w:lang w:val="en-GB"/>
        </w:rPr>
        <w:t xml:space="preserve">If suitable properties were more widely available, this would be likely to </w:t>
      </w:r>
      <w:r w:rsidR="006F5B73" w:rsidRPr="00651EB2">
        <w:rPr>
          <w:rFonts w:ascii="Verdana" w:hAnsi="Verdana" w:cs="Verdana"/>
          <w:bCs/>
          <w:lang w:val="en-GB"/>
        </w:rPr>
        <w:t xml:space="preserve">address under-occupation and </w:t>
      </w:r>
      <w:r w:rsidRPr="00651EB2">
        <w:rPr>
          <w:rFonts w:ascii="Verdana" w:hAnsi="Verdana" w:cs="Verdana"/>
          <w:bCs/>
          <w:lang w:val="en-GB"/>
        </w:rPr>
        <w:t>free up larger houses for growing families to purchase as they work t</w:t>
      </w:r>
      <w:r w:rsidR="006F5B73" w:rsidRPr="00651EB2">
        <w:rPr>
          <w:rFonts w:ascii="Verdana" w:hAnsi="Verdana" w:cs="Verdana"/>
          <w:bCs/>
          <w:lang w:val="en-GB"/>
        </w:rPr>
        <w:t>heir way up the housing ladder</w:t>
      </w:r>
      <w:r w:rsidRPr="00651EB2">
        <w:rPr>
          <w:rFonts w:ascii="Verdana" w:hAnsi="Verdana" w:cs="Verdana"/>
          <w:bCs/>
          <w:lang w:val="en-GB"/>
        </w:rPr>
        <w:t>.</w:t>
      </w:r>
    </w:p>
    <w:p w:rsidR="00151158" w:rsidRPr="00651EB2" w:rsidRDefault="00151158" w:rsidP="00151158">
      <w:pPr>
        <w:rPr>
          <w:rFonts w:ascii="Verdana" w:hAnsi="Verdana" w:cs="Verdana"/>
          <w:bCs/>
          <w:lang w:val="en-GB"/>
        </w:rPr>
      </w:pPr>
    </w:p>
    <w:p w:rsidR="00E21F2D" w:rsidRPr="00651EB2" w:rsidRDefault="00E21F2D" w:rsidP="00AB4A86">
      <w:pPr>
        <w:rPr>
          <w:rFonts w:ascii="Verdana" w:hAnsi="Verdana" w:cs="Verdana"/>
          <w:bCs/>
          <w:lang w:val="en-GB"/>
        </w:rPr>
      </w:pPr>
      <w:r w:rsidRPr="00651EB2">
        <w:rPr>
          <w:rFonts w:ascii="Verdana" w:hAnsi="Verdana" w:cs="Verdana"/>
          <w:bCs/>
          <w:lang w:val="en-GB"/>
        </w:rPr>
        <w:t xml:space="preserve">It should be noted that there is no guarantee that housing sold on the open market will be bought by people with a local connection to </w:t>
      </w:r>
      <w:r w:rsidR="00A84113">
        <w:rPr>
          <w:rFonts w:ascii="Verdana" w:hAnsi="Verdana" w:cs="Verdana"/>
          <w:bCs/>
          <w:lang w:val="en-GB"/>
        </w:rPr>
        <w:t>Oakley</w:t>
      </w:r>
      <w:r w:rsidRPr="00651EB2">
        <w:rPr>
          <w:rFonts w:ascii="Verdana" w:hAnsi="Verdana" w:cs="Verdana"/>
          <w:bCs/>
          <w:lang w:val="en-GB"/>
        </w:rPr>
        <w:t xml:space="preserve">. It is therefore not possible to stipulate how much new housing would meet the needs of the </w:t>
      </w:r>
      <w:r w:rsidR="00A84113">
        <w:rPr>
          <w:rFonts w:ascii="Verdana" w:hAnsi="Verdana" w:cs="Verdana"/>
          <w:bCs/>
          <w:lang w:val="en-GB"/>
        </w:rPr>
        <w:t>60</w:t>
      </w:r>
      <w:r w:rsidR="00832EE1" w:rsidRPr="00651EB2">
        <w:rPr>
          <w:rFonts w:ascii="Verdana" w:hAnsi="Verdana" w:cs="Verdana"/>
          <w:bCs/>
          <w:lang w:val="en-GB"/>
        </w:rPr>
        <w:t xml:space="preserve"> respondents identified above</w:t>
      </w:r>
      <w:r w:rsidRPr="00651EB2">
        <w:rPr>
          <w:rFonts w:ascii="Verdana" w:hAnsi="Verdana" w:cs="Verdana"/>
          <w:bCs/>
          <w:lang w:val="en-GB"/>
        </w:rPr>
        <w:t>.</w:t>
      </w:r>
      <w:r w:rsidR="006F5B73" w:rsidRPr="00651EB2">
        <w:rPr>
          <w:rFonts w:ascii="Verdana" w:hAnsi="Verdana" w:cs="Verdana"/>
          <w:bCs/>
          <w:lang w:val="en-GB"/>
        </w:rPr>
        <w:t xml:space="preserve"> However, it is reasonable to suggest that the provision of </w:t>
      </w:r>
      <w:r w:rsidR="00832EE1" w:rsidRPr="00651EB2">
        <w:rPr>
          <w:rFonts w:ascii="Verdana" w:hAnsi="Verdana" w:cs="Verdana"/>
          <w:b/>
          <w:bCs/>
          <w:lang w:val="en-GB"/>
        </w:rPr>
        <w:t xml:space="preserve">up to </w:t>
      </w:r>
      <w:r w:rsidR="00A84113">
        <w:rPr>
          <w:rFonts w:ascii="Verdana" w:hAnsi="Verdana" w:cs="Verdana"/>
          <w:b/>
          <w:bCs/>
          <w:lang w:val="en-GB"/>
        </w:rPr>
        <w:t>30</w:t>
      </w:r>
      <w:r w:rsidR="006F5B73" w:rsidRPr="00651EB2">
        <w:rPr>
          <w:rFonts w:ascii="Verdana" w:hAnsi="Verdana" w:cs="Verdana"/>
          <w:b/>
          <w:bCs/>
          <w:lang w:val="en-GB"/>
        </w:rPr>
        <w:t xml:space="preserve"> units</w:t>
      </w:r>
      <w:r w:rsidR="006F5B73" w:rsidRPr="00651EB2">
        <w:rPr>
          <w:rFonts w:ascii="Verdana" w:hAnsi="Verdana" w:cs="Verdana"/>
          <w:bCs/>
          <w:lang w:val="en-GB"/>
        </w:rPr>
        <w:t xml:space="preserve"> would meet a reasonable proportion of the need while being in keeping with the size of the village.</w:t>
      </w:r>
      <w:r w:rsidR="00832EE1" w:rsidRPr="00651EB2">
        <w:rPr>
          <w:rFonts w:ascii="Verdana" w:hAnsi="Verdana" w:cs="Verdana"/>
          <w:bCs/>
          <w:lang w:val="en-GB"/>
        </w:rPr>
        <w:t xml:space="preserve"> These could be delivered alongside or as part of a rural exception site, with the market housing cross-subsidising the affordable housing.</w:t>
      </w:r>
    </w:p>
    <w:p w:rsidR="00E21F2D" w:rsidRPr="00651EB2" w:rsidRDefault="00E21F2D" w:rsidP="00AB4A86">
      <w:pPr>
        <w:rPr>
          <w:rFonts w:ascii="Verdana" w:hAnsi="Verdana" w:cs="Verdana"/>
          <w:bCs/>
          <w:lang w:val="en-GB"/>
        </w:rPr>
      </w:pPr>
    </w:p>
    <w:p w:rsidR="00AB4A86" w:rsidRPr="00651EB2" w:rsidRDefault="00AB4A86" w:rsidP="00906125">
      <w:pPr>
        <w:rPr>
          <w:rFonts w:ascii="Verdana" w:hAnsi="Verdana" w:cs="Verdana"/>
          <w:b/>
          <w:bCs/>
          <w:color w:val="FF0000"/>
          <w:lang w:val="en-GB"/>
        </w:rPr>
      </w:pPr>
    </w:p>
    <w:sectPr w:rsidR="00AB4A86" w:rsidRPr="00651EB2" w:rsidSect="006F04A9">
      <w:headerReference w:type="default" r:id="rId9"/>
      <w:footerReference w:type="default" r:id="rId10"/>
      <w:pgSz w:w="11905" w:h="16838"/>
      <w:pgMar w:top="1134" w:right="1134" w:bottom="567" w:left="1134"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780" w:rsidRDefault="004B4780" w:rsidP="009D2C89">
      <w:r>
        <w:separator/>
      </w:r>
    </w:p>
  </w:endnote>
  <w:endnote w:type="continuationSeparator" w:id="0">
    <w:p w:rsidR="004B4780" w:rsidRDefault="004B4780" w:rsidP="009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8D" w:rsidRDefault="00AE528D">
    <w:pPr>
      <w:tabs>
        <w:tab w:val="center" w:pos="4320"/>
        <w:tab w:val="right" w:pos="8640"/>
      </w:tabs>
      <w:jc w:val="right"/>
      <w:rPr>
        <w:kern w:val="0"/>
      </w:rPr>
    </w:pPr>
    <w:r>
      <w:rPr>
        <w:kern w:val="0"/>
      </w:rPr>
      <w:pgNum/>
    </w:r>
  </w:p>
  <w:p w:rsidR="00AE528D" w:rsidRDefault="00AE528D">
    <w:pPr>
      <w:tabs>
        <w:tab w:val="center" w:pos="4320"/>
        <w:tab w:val="right" w:pos="8640"/>
      </w:tabs>
      <w:jc w:val="right"/>
      <w:rPr>
        <w:kern w:val="0"/>
        <w:lang w:val="en-GB"/>
      </w:rPr>
    </w:pPr>
  </w:p>
  <w:p w:rsidR="00AE528D" w:rsidRDefault="00AE528D">
    <w:pPr>
      <w:tabs>
        <w:tab w:val="center" w:pos="4320"/>
        <w:tab w:val="right" w:pos="8640"/>
      </w:tabs>
      <w:jc w:val="right"/>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780" w:rsidRDefault="004B4780" w:rsidP="009D2C89">
      <w:r>
        <w:separator/>
      </w:r>
    </w:p>
  </w:footnote>
  <w:footnote w:type="continuationSeparator" w:id="0">
    <w:p w:rsidR="004B4780" w:rsidRDefault="004B4780" w:rsidP="009D2C89">
      <w:r>
        <w:continuationSeparator/>
      </w:r>
    </w:p>
  </w:footnote>
  <w:footnote w:id="1">
    <w:p w:rsidR="00AE528D" w:rsidRPr="00F24BC9" w:rsidRDefault="00AE528D" w:rsidP="002B6500">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lang w:val="en-GB"/>
        </w:rPr>
        <w:t xml:space="preserve"> </w:t>
      </w:r>
      <w:r w:rsidRPr="00F24BC9">
        <w:rPr>
          <w:rFonts w:ascii="Verdana" w:hAnsi="Verdana"/>
          <w:kern w:val="0"/>
          <w:sz w:val="18"/>
          <w:szCs w:val="18"/>
          <w:lang w:val="en-GB"/>
        </w:rPr>
        <w:t xml:space="preserve"> </w:t>
      </w:r>
      <w:r w:rsidRPr="00F24BC9">
        <w:rPr>
          <w:rFonts w:ascii="Verdana" w:hAnsi="Verdana" w:cs="Verdana"/>
          <w:kern w:val="0"/>
          <w:sz w:val="18"/>
          <w:szCs w:val="18"/>
        </w:rPr>
        <w:t xml:space="preserve"> </w:t>
      </w:r>
      <w:r w:rsidRPr="00F24BC9">
        <w:rPr>
          <w:rFonts w:ascii="Verdana" w:hAnsi="Verdana"/>
          <w:kern w:val="0"/>
          <w:sz w:val="18"/>
          <w:szCs w:val="18"/>
          <w:lang w:val="en-GB"/>
        </w:rPr>
        <w:t>20</w:t>
      </w:r>
      <w:r>
        <w:rPr>
          <w:rFonts w:ascii="Verdana" w:hAnsi="Verdana"/>
          <w:kern w:val="0"/>
          <w:sz w:val="18"/>
          <w:szCs w:val="18"/>
          <w:lang w:val="en-GB"/>
        </w:rPr>
        <w:t>11</w:t>
      </w:r>
      <w:r w:rsidRPr="00F24BC9">
        <w:rPr>
          <w:rFonts w:ascii="Verdana" w:hAnsi="Verdana"/>
          <w:kern w:val="0"/>
          <w:sz w:val="18"/>
          <w:szCs w:val="18"/>
          <w:lang w:val="en-GB"/>
        </w:rPr>
        <w:t xml:space="preserve"> census data – other data also from this source unless otherwise specified</w:t>
      </w:r>
    </w:p>
  </w:footnote>
  <w:footnote w:id="2">
    <w:p w:rsidR="00AE528D" w:rsidRPr="00E72EB9" w:rsidRDefault="00AE528D">
      <w:pPr>
        <w:pStyle w:val="FootnoteText"/>
        <w:rPr>
          <w:rFonts w:ascii="Verdana" w:hAnsi="Verdana"/>
          <w:sz w:val="18"/>
          <w:szCs w:val="18"/>
          <w:lang w:val="en-GB"/>
        </w:rPr>
      </w:pPr>
      <w:r w:rsidRPr="00E72EB9">
        <w:rPr>
          <w:rStyle w:val="FootnoteReference"/>
          <w:rFonts w:ascii="Verdana" w:hAnsi="Verdana"/>
          <w:sz w:val="24"/>
          <w:szCs w:val="24"/>
        </w:rPr>
        <w:footnoteRef/>
      </w:r>
      <w:r w:rsidRPr="00E72EB9">
        <w:rPr>
          <w:rFonts w:ascii="Verdana" w:hAnsi="Verdana"/>
          <w:sz w:val="24"/>
          <w:szCs w:val="24"/>
        </w:rPr>
        <w:t xml:space="preserve"> </w:t>
      </w:r>
      <w:r>
        <w:rPr>
          <w:rFonts w:ascii="Verdana" w:hAnsi="Verdana"/>
          <w:sz w:val="18"/>
          <w:szCs w:val="18"/>
        </w:rPr>
        <w:t>Data from c</w:t>
      </w:r>
      <w:r w:rsidRPr="00E72EB9">
        <w:rPr>
          <w:rFonts w:ascii="Verdana" w:hAnsi="Verdana"/>
          <w:sz w:val="18"/>
          <w:szCs w:val="18"/>
        </w:rPr>
        <w:t xml:space="preserve">ommunity profile for </w:t>
      </w:r>
      <w:r>
        <w:rPr>
          <w:rFonts w:ascii="Verdana" w:hAnsi="Verdana"/>
          <w:sz w:val="18"/>
          <w:szCs w:val="18"/>
        </w:rPr>
        <w:t>Oakley</w:t>
      </w:r>
      <w:r w:rsidRPr="00E72EB9">
        <w:rPr>
          <w:rFonts w:ascii="Verdana" w:hAnsi="Verdana"/>
          <w:sz w:val="18"/>
          <w:szCs w:val="18"/>
        </w:rPr>
        <w:t xml:space="preserve"> (Parish), ©</w:t>
      </w:r>
      <w:r>
        <w:rPr>
          <w:rFonts w:ascii="Verdana" w:hAnsi="Verdana"/>
          <w:sz w:val="18"/>
          <w:szCs w:val="18"/>
        </w:rPr>
        <w:t xml:space="preserve"> ACRE, RCAN, OCSI 2013</w:t>
      </w:r>
    </w:p>
  </w:footnote>
  <w:footnote w:id="3">
    <w:p w:rsidR="00AE528D" w:rsidRPr="00F33415" w:rsidRDefault="00AE528D">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sz w:val="18"/>
          <w:szCs w:val="18"/>
          <w:lang w:val="en-GB"/>
        </w:rPr>
        <w:t xml:space="preserve"> </w:t>
      </w:r>
      <w:r>
        <w:rPr>
          <w:rFonts w:ascii="Verdana" w:hAnsi="Verdana"/>
          <w:sz w:val="18"/>
          <w:szCs w:val="18"/>
          <w:lang w:val="en-GB"/>
        </w:rPr>
        <w:t xml:space="preserve"> </w:t>
      </w:r>
      <w:r w:rsidRPr="00F33415">
        <w:rPr>
          <w:rFonts w:ascii="Verdana" w:hAnsi="Verdana" w:cs="Verdana"/>
          <w:kern w:val="0"/>
          <w:sz w:val="18"/>
          <w:szCs w:val="18"/>
        </w:rPr>
        <w:t>Data sourced from</w:t>
      </w:r>
      <w:r w:rsidRPr="00F33415">
        <w:rPr>
          <w:rFonts w:ascii="Verdana" w:hAnsi="Verdana"/>
          <w:kern w:val="0"/>
          <w:sz w:val="18"/>
          <w:szCs w:val="18"/>
        </w:rPr>
        <w:t xml:space="preserve"> </w:t>
      </w:r>
      <w:hyperlink r:id="rId1" w:history="1">
        <w:r w:rsidRPr="00F33415">
          <w:rPr>
            <w:rFonts w:ascii="Verdana" w:hAnsi="Verdana" w:cs="Verdana"/>
            <w:color w:val="0000FF"/>
            <w:kern w:val="0"/>
            <w:sz w:val="18"/>
            <w:szCs w:val="18"/>
            <w:u w:val="single"/>
            <w:lang w:val="en-GB"/>
          </w:rPr>
          <w:t>www.rightmove.co.uk</w:t>
        </w:r>
      </w:hyperlink>
    </w:p>
  </w:footnote>
  <w:footnote w:id="4">
    <w:p w:rsidR="00AE528D" w:rsidRPr="00F33415" w:rsidRDefault="00AE528D">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lang w:val="en-GB"/>
        </w:rPr>
        <w:t xml:space="preserve"> </w:t>
      </w:r>
      <w:r w:rsidRPr="00F33415">
        <w:rPr>
          <w:rFonts w:ascii="Verdana" w:hAnsi="Verdana"/>
          <w:kern w:val="0"/>
          <w:sz w:val="18"/>
          <w:szCs w:val="18"/>
          <w:lang w:val="en-GB"/>
        </w:rPr>
        <w:t>Strategic Housing Market Assessments: Practice Guidance Version 2 (DCLG 2007)</w:t>
      </w:r>
    </w:p>
  </w:footnote>
  <w:footnote w:id="5">
    <w:p w:rsidR="00AE528D" w:rsidRPr="008F12CA" w:rsidRDefault="00AE528D">
      <w:pPr>
        <w:pStyle w:val="FootnoteText"/>
        <w:rPr>
          <w:lang w:val="en-GB"/>
        </w:rPr>
      </w:pPr>
      <w:r w:rsidRPr="008F12CA">
        <w:rPr>
          <w:rStyle w:val="FootnoteReference"/>
          <w:rFonts w:ascii="Verdana" w:hAnsi="Verdana"/>
          <w:sz w:val="24"/>
          <w:szCs w:val="24"/>
        </w:rPr>
        <w:footnoteRef/>
      </w:r>
      <w:r w:rsidRPr="008F12CA">
        <w:rPr>
          <w:rFonts w:ascii="Verdana" w:hAnsi="Verdana"/>
          <w:sz w:val="24"/>
          <w:szCs w:val="24"/>
        </w:rPr>
        <w:t xml:space="preserve"> </w:t>
      </w:r>
      <w:r w:rsidRPr="00F33415">
        <w:rPr>
          <w:rFonts w:ascii="Verdana" w:hAnsi="Verdana"/>
          <w:kern w:val="0"/>
          <w:sz w:val="18"/>
          <w:szCs w:val="18"/>
          <w:lang w:val="en-GB"/>
        </w:rPr>
        <w:t>Council of Mortgage Lenders</w:t>
      </w:r>
      <w:r>
        <w:rPr>
          <w:rFonts w:ascii="Verdana" w:hAnsi="Verdana"/>
          <w:kern w:val="0"/>
          <w:sz w:val="18"/>
          <w:szCs w:val="18"/>
          <w:lang w:val="en-GB"/>
        </w:rPr>
        <w:t>, July 2015</w:t>
      </w:r>
      <w:r w:rsidRPr="00F33415">
        <w:rPr>
          <w:rFonts w:ascii="Verdana" w:hAnsi="Verdana"/>
          <w:kern w:val="0"/>
          <w:sz w:val="18"/>
          <w:szCs w:val="18"/>
          <w:lang w:val="en-GB"/>
        </w:rPr>
        <w:t xml:space="preserve">  </w:t>
      </w:r>
    </w:p>
  </w:footnote>
  <w:footnote w:id="6">
    <w:p w:rsidR="00AE528D" w:rsidRPr="00F33415" w:rsidRDefault="00AE528D">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sz w:val="18"/>
          <w:szCs w:val="18"/>
          <w:lang w:val="en-GB"/>
        </w:rPr>
        <w:t xml:space="preserve"> </w:t>
      </w:r>
      <w:r w:rsidRPr="00F33415">
        <w:rPr>
          <w:rFonts w:ascii="Verdana" w:hAnsi="Verdana"/>
          <w:kern w:val="0"/>
          <w:sz w:val="18"/>
          <w:szCs w:val="18"/>
          <w:lang w:val="en-GB"/>
        </w:rPr>
        <w:t>Council of Mortgage Lenders</w:t>
      </w:r>
      <w:r>
        <w:rPr>
          <w:rFonts w:ascii="Verdana" w:hAnsi="Verdana"/>
          <w:kern w:val="0"/>
          <w:sz w:val="18"/>
          <w:szCs w:val="18"/>
          <w:lang w:val="en-GB"/>
        </w:rPr>
        <w:t>, July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8D" w:rsidRDefault="00AE528D">
    <w:pPr>
      <w:tabs>
        <w:tab w:val="center" w:pos="5102"/>
        <w:tab w:val="right" w:pos="10204"/>
      </w:tabs>
      <w:rPr>
        <w:kern w:val="0"/>
        <w:lang w:val="en-GB"/>
      </w:rPr>
    </w:pPr>
  </w:p>
  <w:p w:rsidR="00AE528D" w:rsidRDefault="00AE528D">
    <w:pPr>
      <w:tabs>
        <w:tab w:val="center" w:pos="5102"/>
        <w:tab w:val="right" w:pos="10204"/>
      </w:tabs>
      <w:rPr>
        <w:kern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568C0"/>
    <w:multiLevelType w:val="hybridMultilevel"/>
    <w:tmpl w:val="CE6A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9D2C89"/>
    <w:rsid w:val="000029DC"/>
    <w:rsid w:val="00004CD4"/>
    <w:rsid w:val="0000589E"/>
    <w:rsid w:val="00016D7A"/>
    <w:rsid w:val="00022F14"/>
    <w:rsid w:val="00026838"/>
    <w:rsid w:val="00030FB2"/>
    <w:rsid w:val="0003338C"/>
    <w:rsid w:val="0003745E"/>
    <w:rsid w:val="0004176F"/>
    <w:rsid w:val="000446D9"/>
    <w:rsid w:val="00047B5D"/>
    <w:rsid w:val="00050BA3"/>
    <w:rsid w:val="00051D27"/>
    <w:rsid w:val="000521C8"/>
    <w:rsid w:val="0005616B"/>
    <w:rsid w:val="00085C48"/>
    <w:rsid w:val="00085CB7"/>
    <w:rsid w:val="00093C1C"/>
    <w:rsid w:val="00093F55"/>
    <w:rsid w:val="0009454E"/>
    <w:rsid w:val="00096F27"/>
    <w:rsid w:val="00097074"/>
    <w:rsid w:val="000B0988"/>
    <w:rsid w:val="000B69CA"/>
    <w:rsid w:val="000C7FC4"/>
    <w:rsid w:val="000D57C5"/>
    <w:rsid w:val="000D64B5"/>
    <w:rsid w:val="000E2DAA"/>
    <w:rsid w:val="000E43BE"/>
    <w:rsid w:val="000E7347"/>
    <w:rsid w:val="001004F5"/>
    <w:rsid w:val="00100F5C"/>
    <w:rsid w:val="00101656"/>
    <w:rsid w:val="00102408"/>
    <w:rsid w:val="00105196"/>
    <w:rsid w:val="00105256"/>
    <w:rsid w:val="00110F8B"/>
    <w:rsid w:val="0011269B"/>
    <w:rsid w:val="001140F9"/>
    <w:rsid w:val="00115B57"/>
    <w:rsid w:val="00125750"/>
    <w:rsid w:val="00127718"/>
    <w:rsid w:val="00131EA2"/>
    <w:rsid w:val="001406A1"/>
    <w:rsid w:val="001415D3"/>
    <w:rsid w:val="00151158"/>
    <w:rsid w:val="001540B6"/>
    <w:rsid w:val="00154A2B"/>
    <w:rsid w:val="00157581"/>
    <w:rsid w:val="00157A6D"/>
    <w:rsid w:val="00157AA4"/>
    <w:rsid w:val="00170D24"/>
    <w:rsid w:val="00172523"/>
    <w:rsid w:val="00175C43"/>
    <w:rsid w:val="0018217F"/>
    <w:rsid w:val="0018245C"/>
    <w:rsid w:val="00195CBA"/>
    <w:rsid w:val="001A2D36"/>
    <w:rsid w:val="001A5D53"/>
    <w:rsid w:val="001A7403"/>
    <w:rsid w:val="001B3A38"/>
    <w:rsid w:val="001B5605"/>
    <w:rsid w:val="001D3424"/>
    <w:rsid w:val="001D4C05"/>
    <w:rsid w:val="001E4535"/>
    <w:rsid w:val="001E7B8B"/>
    <w:rsid w:val="00202E36"/>
    <w:rsid w:val="002052E7"/>
    <w:rsid w:val="00206AB0"/>
    <w:rsid w:val="0021002F"/>
    <w:rsid w:val="002151FC"/>
    <w:rsid w:val="00216FFA"/>
    <w:rsid w:val="002230AE"/>
    <w:rsid w:val="00232840"/>
    <w:rsid w:val="002416DF"/>
    <w:rsid w:val="0024522E"/>
    <w:rsid w:val="0024583B"/>
    <w:rsid w:val="00251D8D"/>
    <w:rsid w:val="0025239A"/>
    <w:rsid w:val="00255EE2"/>
    <w:rsid w:val="0026053C"/>
    <w:rsid w:val="00261FD2"/>
    <w:rsid w:val="00262946"/>
    <w:rsid w:val="00265B5B"/>
    <w:rsid w:val="0027226C"/>
    <w:rsid w:val="00274DBA"/>
    <w:rsid w:val="00276E00"/>
    <w:rsid w:val="002A337F"/>
    <w:rsid w:val="002B2F91"/>
    <w:rsid w:val="002B42BD"/>
    <w:rsid w:val="002B6500"/>
    <w:rsid w:val="002C355A"/>
    <w:rsid w:val="002C4C9B"/>
    <w:rsid w:val="002D16B8"/>
    <w:rsid w:val="002D3449"/>
    <w:rsid w:val="002D789A"/>
    <w:rsid w:val="002E324C"/>
    <w:rsid w:val="002F028D"/>
    <w:rsid w:val="002F3BA2"/>
    <w:rsid w:val="003009C7"/>
    <w:rsid w:val="00301F41"/>
    <w:rsid w:val="00303B02"/>
    <w:rsid w:val="00311113"/>
    <w:rsid w:val="003310C6"/>
    <w:rsid w:val="00333633"/>
    <w:rsid w:val="003357E8"/>
    <w:rsid w:val="00346292"/>
    <w:rsid w:val="00350E45"/>
    <w:rsid w:val="003540FD"/>
    <w:rsid w:val="00360281"/>
    <w:rsid w:val="0036411F"/>
    <w:rsid w:val="0039113A"/>
    <w:rsid w:val="003913A0"/>
    <w:rsid w:val="003A0746"/>
    <w:rsid w:val="003D64EB"/>
    <w:rsid w:val="003E4A1A"/>
    <w:rsid w:val="003E6CB7"/>
    <w:rsid w:val="003E7506"/>
    <w:rsid w:val="003F0841"/>
    <w:rsid w:val="003F4991"/>
    <w:rsid w:val="003F4CD7"/>
    <w:rsid w:val="003F56DE"/>
    <w:rsid w:val="0040032C"/>
    <w:rsid w:val="00401979"/>
    <w:rsid w:val="00407772"/>
    <w:rsid w:val="00416D52"/>
    <w:rsid w:val="00417F7F"/>
    <w:rsid w:val="00421357"/>
    <w:rsid w:val="00423873"/>
    <w:rsid w:val="004301BA"/>
    <w:rsid w:val="00433FDE"/>
    <w:rsid w:val="0043544A"/>
    <w:rsid w:val="004430A8"/>
    <w:rsid w:val="0044553B"/>
    <w:rsid w:val="0045337A"/>
    <w:rsid w:val="00453984"/>
    <w:rsid w:val="00455114"/>
    <w:rsid w:val="00456602"/>
    <w:rsid w:val="004603C5"/>
    <w:rsid w:val="004674B3"/>
    <w:rsid w:val="00470C1B"/>
    <w:rsid w:val="00474CAC"/>
    <w:rsid w:val="00475273"/>
    <w:rsid w:val="004838AD"/>
    <w:rsid w:val="00487E19"/>
    <w:rsid w:val="00487FE7"/>
    <w:rsid w:val="0049477D"/>
    <w:rsid w:val="00494A04"/>
    <w:rsid w:val="00496E83"/>
    <w:rsid w:val="004A5701"/>
    <w:rsid w:val="004A6348"/>
    <w:rsid w:val="004B4780"/>
    <w:rsid w:val="004B56B2"/>
    <w:rsid w:val="004B7380"/>
    <w:rsid w:val="004D1F2A"/>
    <w:rsid w:val="004D27EE"/>
    <w:rsid w:val="004D4428"/>
    <w:rsid w:val="004D5460"/>
    <w:rsid w:val="004E0014"/>
    <w:rsid w:val="004F25E1"/>
    <w:rsid w:val="00500A10"/>
    <w:rsid w:val="00510417"/>
    <w:rsid w:val="00516624"/>
    <w:rsid w:val="0051708A"/>
    <w:rsid w:val="005240CD"/>
    <w:rsid w:val="0052597E"/>
    <w:rsid w:val="005328D7"/>
    <w:rsid w:val="00535FFC"/>
    <w:rsid w:val="005407C2"/>
    <w:rsid w:val="005469B5"/>
    <w:rsid w:val="00553224"/>
    <w:rsid w:val="005570B6"/>
    <w:rsid w:val="0057104D"/>
    <w:rsid w:val="00575EA9"/>
    <w:rsid w:val="005806D2"/>
    <w:rsid w:val="00581E51"/>
    <w:rsid w:val="00581F4C"/>
    <w:rsid w:val="005839E9"/>
    <w:rsid w:val="0058530F"/>
    <w:rsid w:val="00592731"/>
    <w:rsid w:val="0059468E"/>
    <w:rsid w:val="00596CF9"/>
    <w:rsid w:val="005A1869"/>
    <w:rsid w:val="005B1633"/>
    <w:rsid w:val="005C04A1"/>
    <w:rsid w:val="005C4D2B"/>
    <w:rsid w:val="005D015B"/>
    <w:rsid w:val="005D22F8"/>
    <w:rsid w:val="005D477F"/>
    <w:rsid w:val="005E2E45"/>
    <w:rsid w:val="005E5905"/>
    <w:rsid w:val="005E726B"/>
    <w:rsid w:val="00602091"/>
    <w:rsid w:val="00611740"/>
    <w:rsid w:val="00622A6C"/>
    <w:rsid w:val="00625155"/>
    <w:rsid w:val="00625F10"/>
    <w:rsid w:val="00627BC3"/>
    <w:rsid w:val="006303B7"/>
    <w:rsid w:val="00635271"/>
    <w:rsid w:val="006406B4"/>
    <w:rsid w:val="00642C6E"/>
    <w:rsid w:val="00643354"/>
    <w:rsid w:val="006471CF"/>
    <w:rsid w:val="00651EB2"/>
    <w:rsid w:val="00660EFF"/>
    <w:rsid w:val="00663471"/>
    <w:rsid w:val="0066473C"/>
    <w:rsid w:val="00664FCE"/>
    <w:rsid w:val="006728A8"/>
    <w:rsid w:val="006868AC"/>
    <w:rsid w:val="006B4C08"/>
    <w:rsid w:val="006C4B50"/>
    <w:rsid w:val="006F04A9"/>
    <w:rsid w:val="006F14C0"/>
    <w:rsid w:val="006F2694"/>
    <w:rsid w:val="006F30FD"/>
    <w:rsid w:val="006F596F"/>
    <w:rsid w:val="006F5B73"/>
    <w:rsid w:val="006F7FB3"/>
    <w:rsid w:val="00700ADD"/>
    <w:rsid w:val="00711A59"/>
    <w:rsid w:val="0071581B"/>
    <w:rsid w:val="00720863"/>
    <w:rsid w:val="00724BCA"/>
    <w:rsid w:val="00734A43"/>
    <w:rsid w:val="00740B75"/>
    <w:rsid w:val="00747651"/>
    <w:rsid w:val="007517E8"/>
    <w:rsid w:val="007579EB"/>
    <w:rsid w:val="00761304"/>
    <w:rsid w:val="0076539C"/>
    <w:rsid w:val="00765A0B"/>
    <w:rsid w:val="00780E2B"/>
    <w:rsid w:val="00781E0B"/>
    <w:rsid w:val="007820ED"/>
    <w:rsid w:val="00791C36"/>
    <w:rsid w:val="007A69E0"/>
    <w:rsid w:val="007B3135"/>
    <w:rsid w:val="007B78AD"/>
    <w:rsid w:val="007C1B71"/>
    <w:rsid w:val="007E2C74"/>
    <w:rsid w:val="007E4A6D"/>
    <w:rsid w:val="007E72B1"/>
    <w:rsid w:val="00805169"/>
    <w:rsid w:val="008051AF"/>
    <w:rsid w:val="00811099"/>
    <w:rsid w:val="00811FE9"/>
    <w:rsid w:val="008166A4"/>
    <w:rsid w:val="008175DE"/>
    <w:rsid w:val="00822CBD"/>
    <w:rsid w:val="00823AD2"/>
    <w:rsid w:val="008314F6"/>
    <w:rsid w:val="00832EE1"/>
    <w:rsid w:val="00833C5B"/>
    <w:rsid w:val="0084136B"/>
    <w:rsid w:val="008530CE"/>
    <w:rsid w:val="00861F71"/>
    <w:rsid w:val="008631F6"/>
    <w:rsid w:val="00864018"/>
    <w:rsid w:val="00864DFC"/>
    <w:rsid w:val="008755E8"/>
    <w:rsid w:val="00882AD1"/>
    <w:rsid w:val="008A035F"/>
    <w:rsid w:val="008A30A8"/>
    <w:rsid w:val="008B1936"/>
    <w:rsid w:val="008B3F44"/>
    <w:rsid w:val="008B626B"/>
    <w:rsid w:val="008C7FF8"/>
    <w:rsid w:val="008D2812"/>
    <w:rsid w:val="008E0C96"/>
    <w:rsid w:val="008F12CA"/>
    <w:rsid w:val="008F63AF"/>
    <w:rsid w:val="008F7D4C"/>
    <w:rsid w:val="00902A10"/>
    <w:rsid w:val="00906125"/>
    <w:rsid w:val="009068D5"/>
    <w:rsid w:val="009340DA"/>
    <w:rsid w:val="00942D52"/>
    <w:rsid w:val="009604B9"/>
    <w:rsid w:val="00961280"/>
    <w:rsid w:val="009636E9"/>
    <w:rsid w:val="009666AD"/>
    <w:rsid w:val="00973C18"/>
    <w:rsid w:val="00975CCF"/>
    <w:rsid w:val="00983475"/>
    <w:rsid w:val="009838CD"/>
    <w:rsid w:val="00997FFC"/>
    <w:rsid w:val="009A48C1"/>
    <w:rsid w:val="009B107F"/>
    <w:rsid w:val="009C3ED8"/>
    <w:rsid w:val="009D228B"/>
    <w:rsid w:val="009D2C89"/>
    <w:rsid w:val="009D787E"/>
    <w:rsid w:val="009D7CA0"/>
    <w:rsid w:val="009E332A"/>
    <w:rsid w:val="009E7DB0"/>
    <w:rsid w:val="009F40F9"/>
    <w:rsid w:val="009F5B60"/>
    <w:rsid w:val="00A1302B"/>
    <w:rsid w:val="00A13057"/>
    <w:rsid w:val="00A20363"/>
    <w:rsid w:val="00A34C26"/>
    <w:rsid w:val="00A400DA"/>
    <w:rsid w:val="00A5005D"/>
    <w:rsid w:val="00A51E39"/>
    <w:rsid w:val="00A63F0A"/>
    <w:rsid w:val="00A67D9F"/>
    <w:rsid w:val="00A714C2"/>
    <w:rsid w:val="00A745C9"/>
    <w:rsid w:val="00A77004"/>
    <w:rsid w:val="00A82955"/>
    <w:rsid w:val="00A83F1F"/>
    <w:rsid w:val="00A84113"/>
    <w:rsid w:val="00A90023"/>
    <w:rsid w:val="00A91B15"/>
    <w:rsid w:val="00A93B6B"/>
    <w:rsid w:val="00AA0613"/>
    <w:rsid w:val="00AA2D26"/>
    <w:rsid w:val="00AA64E6"/>
    <w:rsid w:val="00AB3E68"/>
    <w:rsid w:val="00AB4806"/>
    <w:rsid w:val="00AB4A86"/>
    <w:rsid w:val="00AB61B6"/>
    <w:rsid w:val="00AC666D"/>
    <w:rsid w:val="00AD1DFF"/>
    <w:rsid w:val="00AD207B"/>
    <w:rsid w:val="00AD4856"/>
    <w:rsid w:val="00AE472A"/>
    <w:rsid w:val="00AE528D"/>
    <w:rsid w:val="00AF1314"/>
    <w:rsid w:val="00AF3E42"/>
    <w:rsid w:val="00AF455A"/>
    <w:rsid w:val="00AF594B"/>
    <w:rsid w:val="00AF6213"/>
    <w:rsid w:val="00B016D5"/>
    <w:rsid w:val="00B026AC"/>
    <w:rsid w:val="00B1654F"/>
    <w:rsid w:val="00B16EAA"/>
    <w:rsid w:val="00B23CFA"/>
    <w:rsid w:val="00B2600E"/>
    <w:rsid w:val="00B27633"/>
    <w:rsid w:val="00B30DA7"/>
    <w:rsid w:val="00B57998"/>
    <w:rsid w:val="00B60972"/>
    <w:rsid w:val="00B62F9A"/>
    <w:rsid w:val="00B646B7"/>
    <w:rsid w:val="00B64A2D"/>
    <w:rsid w:val="00B8288B"/>
    <w:rsid w:val="00B87828"/>
    <w:rsid w:val="00B94810"/>
    <w:rsid w:val="00B95256"/>
    <w:rsid w:val="00BA6CB3"/>
    <w:rsid w:val="00BB3E30"/>
    <w:rsid w:val="00BB6321"/>
    <w:rsid w:val="00BB6CAF"/>
    <w:rsid w:val="00BC0A5F"/>
    <w:rsid w:val="00BC4F9F"/>
    <w:rsid w:val="00BC5AE7"/>
    <w:rsid w:val="00BD652B"/>
    <w:rsid w:val="00BF5063"/>
    <w:rsid w:val="00C00F8E"/>
    <w:rsid w:val="00C02D73"/>
    <w:rsid w:val="00C035B1"/>
    <w:rsid w:val="00C040E0"/>
    <w:rsid w:val="00C119BB"/>
    <w:rsid w:val="00C158DA"/>
    <w:rsid w:val="00C204B6"/>
    <w:rsid w:val="00C25628"/>
    <w:rsid w:val="00C31889"/>
    <w:rsid w:val="00C401C5"/>
    <w:rsid w:val="00C51BA1"/>
    <w:rsid w:val="00C628B6"/>
    <w:rsid w:val="00C645B8"/>
    <w:rsid w:val="00C760F1"/>
    <w:rsid w:val="00C77D18"/>
    <w:rsid w:val="00C83EB5"/>
    <w:rsid w:val="00C85677"/>
    <w:rsid w:val="00C87D12"/>
    <w:rsid w:val="00C938B2"/>
    <w:rsid w:val="00CA1B8C"/>
    <w:rsid w:val="00CA4A69"/>
    <w:rsid w:val="00CA6B3F"/>
    <w:rsid w:val="00CB33AD"/>
    <w:rsid w:val="00CC6DBE"/>
    <w:rsid w:val="00CD08F8"/>
    <w:rsid w:val="00CD1362"/>
    <w:rsid w:val="00CD2A51"/>
    <w:rsid w:val="00CE0289"/>
    <w:rsid w:val="00CE06C6"/>
    <w:rsid w:val="00CE2007"/>
    <w:rsid w:val="00CE750E"/>
    <w:rsid w:val="00CF25BF"/>
    <w:rsid w:val="00CF3EE9"/>
    <w:rsid w:val="00CF55A2"/>
    <w:rsid w:val="00CF59AF"/>
    <w:rsid w:val="00D03FEE"/>
    <w:rsid w:val="00D1044C"/>
    <w:rsid w:val="00D1646B"/>
    <w:rsid w:val="00D2382B"/>
    <w:rsid w:val="00D426F7"/>
    <w:rsid w:val="00D43140"/>
    <w:rsid w:val="00D4362D"/>
    <w:rsid w:val="00D444F2"/>
    <w:rsid w:val="00D452A2"/>
    <w:rsid w:val="00D4565A"/>
    <w:rsid w:val="00D45F04"/>
    <w:rsid w:val="00D53050"/>
    <w:rsid w:val="00D70B16"/>
    <w:rsid w:val="00D751FF"/>
    <w:rsid w:val="00D81E9A"/>
    <w:rsid w:val="00D83A57"/>
    <w:rsid w:val="00D87922"/>
    <w:rsid w:val="00D93B1B"/>
    <w:rsid w:val="00DA2742"/>
    <w:rsid w:val="00DB1150"/>
    <w:rsid w:val="00DB7545"/>
    <w:rsid w:val="00DC2951"/>
    <w:rsid w:val="00DC5DE2"/>
    <w:rsid w:val="00DC6302"/>
    <w:rsid w:val="00DC6B05"/>
    <w:rsid w:val="00DC73F0"/>
    <w:rsid w:val="00DD0104"/>
    <w:rsid w:val="00DD339A"/>
    <w:rsid w:val="00DD59DA"/>
    <w:rsid w:val="00DE0CA2"/>
    <w:rsid w:val="00DE3DA3"/>
    <w:rsid w:val="00DE5603"/>
    <w:rsid w:val="00DF3A5D"/>
    <w:rsid w:val="00DF744D"/>
    <w:rsid w:val="00E179C7"/>
    <w:rsid w:val="00E21F2D"/>
    <w:rsid w:val="00E25C62"/>
    <w:rsid w:val="00E31B00"/>
    <w:rsid w:val="00E35141"/>
    <w:rsid w:val="00E35E6B"/>
    <w:rsid w:val="00E36AA6"/>
    <w:rsid w:val="00E55DD7"/>
    <w:rsid w:val="00E56565"/>
    <w:rsid w:val="00E62816"/>
    <w:rsid w:val="00E62998"/>
    <w:rsid w:val="00E66446"/>
    <w:rsid w:val="00E67732"/>
    <w:rsid w:val="00E72EB9"/>
    <w:rsid w:val="00E748C9"/>
    <w:rsid w:val="00E76DDE"/>
    <w:rsid w:val="00E8728C"/>
    <w:rsid w:val="00E971C8"/>
    <w:rsid w:val="00EA1645"/>
    <w:rsid w:val="00EA2B78"/>
    <w:rsid w:val="00EA6277"/>
    <w:rsid w:val="00EB01A0"/>
    <w:rsid w:val="00EB4B52"/>
    <w:rsid w:val="00EC1C26"/>
    <w:rsid w:val="00EC5616"/>
    <w:rsid w:val="00ED3F98"/>
    <w:rsid w:val="00ED4979"/>
    <w:rsid w:val="00EE6AE0"/>
    <w:rsid w:val="00EE6E6D"/>
    <w:rsid w:val="00EE78F4"/>
    <w:rsid w:val="00F00D1C"/>
    <w:rsid w:val="00F01A6F"/>
    <w:rsid w:val="00F0712F"/>
    <w:rsid w:val="00F11DD5"/>
    <w:rsid w:val="00F15C6B"/>
    <w:rsid w:val="00F16BF3"/>
    <w:rsid w:val="00F17610"/>
    <w:rsid w:val="00F23E26"/>
    <w:rsid w:val="00F24BC9"/>
    <w:rsid w:val="00F321B1"/>
    <w:rsid w:val="00F33415"/>
    <w:rsid w:val="00F34866"/>
    <w:rsid w:val="00F42624"/>
    <w:rsid w:val="00F5229C"/>
    <w:rsid w:val="00F524BC"/>
    <w:rsid w:val="00F5287A"/>
    <w:rsid w:val="00F53801"/>
    <w:rsid w:val="00F64AE4"/>
    <w:rsid w:val="00F82ADB"/>
    <w:rsid w:val="00F83DC0"/>
    <w:rsid w:val="00F85949"/>
    <w:rsid w:val="00F85C94"/>
    <w:rsid w:val="00F97B4E"/>
    <w:rsid w:val="00FA000D"/>
    <w:rsid w:val="00FB312A"/>
    <w:rsid w:val="00FB45BB"/>
    <w:rsid w:val="00FC3674"/>
    <w:rsid w:val="00FC6637"/>
    <w:rsid w:val="00FD4A35"/>
    <w:rsid w:val="00FE3959"/>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71A4B8-E460-4407-B816-D79610F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overflowPunct w:val="0"/>
      <w:adjustRightInd w:val="0"/>
    </w:pPr>
    <w:rPr>
      <w:rFonts w:ascii="Times New Roman" w:hAnsi="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33415"/>
    <w:rPr>
      <w:sz w:val="20"/>
      <w:szCs w:val="20"/>
    </w:rPr>
  </w:style>
  <w:style w:type="character" w:styleId="FootnoteReference">
    <w:name w:val="footnote reference"/>
    <w:semiHidden/>
    <w:rsid w:val="00F33415"/>
    <w:rPr>
      <w:vertAlign w:val="superscript"/>
    </w:rPr>
  </w:style>
  <w:style w:type="paragraph" w:customStyle="1" w:styleId="Default">
    <w:name w:val="Default"/>
    <w:rsid w:val="00131EA2"/>
    <w:pPr>
      <w:autoSpaceDE w:val="0"/>
      <w:autoSpaceDN w:val="0"/>
      <w:adjustRightInd w:val="0"/>
    </w:pPr>
    <w:rPr>
      <w:rFonts w:ascii="Arial Unicode MS" w:eastAsia="Arial Unicode MS" w:hAnsi="Times New Roman" w:cs="Arial Unicode MS"/>
      <w:color w:val="000000"/>
      <w:sz w:val="24"/>
      <w:szCs w:val="24"/>
      <w:lang w:val="en-US" w:eastAsia="en-US"/>
    </w:rPr>
  </w:style>
  <w:style w:type="table" w:styleId="TableGrid">
    <w:name w:val="Table Grid"/>
    <w:basedOn w:val="TableNormal"/>
    <w:rsid w:val="00AD48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2946"/>
    <w:pPr>
      <w:widowControl/>
      <w:overflowPunct/>
      <w:adjustRightInd/>
      <w:spacing w:after="240"/>
    </w:pPr>
    <w:rPr>
      <w:kern w:val="0"/>
      <w:lang w:val="en-GB"/>
    </w:rPr>
  </w:style>
  <w:style w:type="paragraph" w:styleId="ListParagraph">
    <w:name w:val="List Paragraph"/>
    <w:basedOn w:val="Normal"/>
    <w:uiPriority w:val="34"/>
    <w:qFormat/>
    <w:rsid w:val="00140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7814">
      <w:bodyDiv w:val="1"/>
      <w:marLeft w:val="0"/>
      <w:marRight w:val="0"/>
      <w:marTop w:val="0"/>
      <w:marBottom w:val="0"/>
      <w:divBdr>
        <w:top w:val="none" w:sz="0" w:space="0" w:color="auto"/>
        <w:left w:val="none" w:sz="0" w:space="0" w:color="auto"/>
        <w:bottom w:val="none" w:sz="0" w:space="0" w:color="auto"/>
        <w:right w:val="none" w:sz="0" w:space="0" w:color="auto"/>
      </w:divBdr>
    </w:div>
    <w:div w:id="1446465438">
      <w:bodyDiv w:val="1"/>
      <w:marLeft w:val="0"/>
      <w:marRight w:val="0"/>
      <w:marTop w:val="0"/>
      <w:marBottom w:val="0"/>
      <w:divBdr>
        <w:top w:val="none" w:sz="0" w:space="0" w:color="auto"/>
        <w:left w:val="none" w:sz="0" w:space="0" w:color="auto"/>
        <w:bottom w:val="none" w:sz="0" w:space="0" w:color="auto"/>
        <w:right w:val="none" w:sz="0" w:space="0" w:color="auto"/>
      </w:divBdr>
    </w:div>
    <w:div w:id="1973973266">
      <w:bodyDiv w:val="1"/>
      <w:marLeft w:val="0"/>
      <w:marRight w:val="0"/>
      <w:marTop w:val="0"/>
      <w:marBottom w:val="0"/>
      <w:divBdr>
        <w:top w:val="none" w:sz="0" w:space="0" w:color="auto"/>
        <w:left w:val="none" w:sz="0" w:space="0" w:color="auto"/>
        <w:bottom w:val="none" w:sz="0" w:space="0" w:color="auto"/>
        <w:right w:val="none" w:sz="0" w:space="0" w:color="auto"/>
      </w:divBdr>
    </w:div>
    <w:div w:id="2061399020">
      <w:bodyDiv w:val="1"/>
      <w:marLeft w:val="0"/>
      <w:marRight w:val="0"/>
      <w:marTop w:val="0"/>
      <w:marBottom w:val="0"/>
      <w:divBdr>
        <w:top w:val="none" w:sz="0" w:space="0" w:color="auto"/>
        <w:left w:val="none" w:sz="0" w:space="0" w:color="auto"/>
        <w:bottom w:val="none" w:sz="0" w:space="0" w:color="auto"/>
        <w:right w:val="none" w:sz="0" w:space="0" w:color="auto"/>
      </w:divBdr>
      <w:divsChild>
        <w:div w:id="1906793735">
          <w:marLeft w:val="0"/>
          <w:marRight w:val="0"/>
          <w:marTop w:val="0"/>
          <w:marBottom w:val="0"/>
          <w:divBdr>
            <w:top w:val="none" w:sz="0" w:space="0" w:color="auto"/>
            <w:left w:val="none" w:sz="0" w:space="0" w:color="auto"/>
            <w:bottom w:val="none" w:sz="0" w:space="0" w:color="auto"/>
            <w:right w:val="none" w:sz="0" w:space="0" w:color="auto"/>
          </w:divBdr>
          <w:divsChild>
            <w:div w:id="385106007">
              <w:marLeft w:val="0"/>
              <w:marRight w:val="0"/>
              <w:marTop w:val="0"/>
              <w:marBottom w:val="0"/>
              <w:divBdr>
                <w:top w:val="none" w:sz="0" w:space="0" w:color="auto"/>
                <w:left w:val="none" w:sz="0" w:space="0" w:color="auto"/>
                <w:bottom w:val="none" w:sz="0" w:space="0" w:color="auto"/>
                <w:right w:val="none" w:sz="0" w:space="0" w:color="auto"/>
              </w:divBdr>
              <w:divsChild>
                <w:div w:id="759332036">
                  <w:marLeft w:val="0"/>
                  <w:marRight w:val="0"/>
                  <w:marTop w:val="0"/>
                  <w:marBottom w:val="0"/>
                  <w:divBdr>
                    <w:top w:val="none" w:sz="0" w:space="0" w:color="auto"/>
                    <w:left w:val="none" w:sz="0" w:space="0" w:color="auto"/>
                    <w:bottom w:val="none" w:sz="0" w:space="0" w:color="auto"/>
                    <w:right w:val="none" w:sz="0" w:space="0" w:color="auto"/>
                  </w:divBdr>
                  <w:divsChild>
                    <w:div w:id="1104347794">
                      <w:marLeft w:val="0"/>
                      <w:marRight w:val="0"/>
                      <w:marTop w:val="0"/>
                      <w:marBottom w:val="0"/>
                      <w:divBdr>
                        <w:top w:val="none" w:sz="0" w:space="0" w:color="auto"/>
                        <w:left w:val="none" w:sz="0" w:space="0" w:color="auto"/>
                        <w:bottom w:val="none" w:sz="0" w:space="0" w:color="auto"/>
                        <w:right w:val="none" w:sz="0" w:space="0" w:color="auto"/>
                      </w:divBdr>
                      <w:divsChild>
                        <w:div w:id="1057705104">
                          <w:marLeft w:val="75"/>
                          <w:marRight w:val="7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026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rightmo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23DB-9ACE-4DB6-B9E4-9FEFA900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Report of the Hulcote &amp; Salford Housing Needs Survey</vt:lpstr>
    </vt:vector>
  </TitlesOfParts>
  <Company>Microsoft</Company>
  <LinksUpToDate>false</LinksUpToDate>
  <CharactersWithSpaces>26613</CharactersWithSpaces>
  <SharedDoc>false</SharedDoc>
  <HLinks>
    <vt:vector size="18" baseType="variant">
      <vt:variant>
        <vt:i4>6684798</vt:i4>
      </vt:variant>
      <vt:variant>
        <vt:i4>6</vt:i4>
      </vt:variant>
      <vt:variant>
        <vt:i4>0</vt:i4>
      </vt:variant>
      <vt:variant>
        <vt:i4>5</vt:i4>
      </vt:variant>
      <vt:variant>
        <vt:lpwstr>http://www.rightmove.co.uk/</vt:lpwstr>
      </vt:variant>
      <vt:variant>
        <vt:lpwstr/>
      </vt:variant>
      <vt:variant>
        <vt:i4>6684798</vt:i4>
      </vt:variant>
      <vt:variant>
        <vt:i4>3</vt:i4>
      </vt:variant>
      <vt:variant>
        <vt:i4>0</vt:i4>
      </vt:variant>
      <vt:variant>
        <vt:i4>5</vt:i4>
      </vt:variant>
      <vt:variant>
        <vt:lpwstr>http://www.rightmove.co.uk/</vt:lpwstr>
      </vt:variant>
      <vt:variant>
        <vt:lpwstr/>
      </vt:variant>
      <vt:variant>
        <vt:i4>6684798</vt:i4>
      </vt:variant>
      <vt:variant>
        <vt:i4>0</vt:i4>
      </vt:variant>
      <vt:variant>
        <vt:i4>0</vt:i4>
      </vt:variant>
      <vt:variant>
        <vt:i4>5</vt:i4>
      </vt:variant>
      <vt:variant>
        <vt:lpwstr>http://www.rightmove.co.uk/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Hulcote &amp; Salford Housing Needs Survey</dc:title>
  <dc:creator>Jon Boswell</dc:creator>
  <cp:lastModifiedBy>Ann</cp:lastModifiedBy>
  <cp:revision>3</cp:revision>
  <cp:lastPrinted>2015-01-14T22:13:00Z</cp:lastPrinted>
  <dcterms:created xsi:type="dcterms:W3CDTF">2016-10-25T11:33:00Z</dcterms:created>
  <dcterms:modified xsi:type="dcterms:W3CDTF">2016-10-25T11:33:00Z</dcterms:modified>
</cp:coreProperties>
</file>