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BB95" w14:textId="77777777" w:rsidR="00B7524B" w:rsidRDefault="00B7524B" w:rsidP="00B7524B">
      <w:pPr>
        <w:pStyle w:val="Heading1"/>
        <w:ind w:right="-665"/>
        <w:rPr>
          <w:u w:val="single"/>
        </w:rPr>
      </w:pPr>
      <w:r>
        <w:rPr>
          <w:u w:val="single"/>
        </w:rPr>
        <w:t xml:space="preserve">OAKLEY PARISH COUNCIL 16.10.19.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rPr>
          <w:u w:val="single"/>
        </w:rPr>
        <w:tab/>
        <w:t xml:space="preserve">             1.  </w:t>
      </w:r>
    </w:p>
    <w:p w14:paraId="497B200A" w14:textId="77777777" w:rsidR="00B7524B" w:rsidRPr="006353A7" w:rsidRDefault="00B7524B" w:rsidP="00B7524B">
      <w:pPr>
        <w:pStyle w:val="CommentSubject"/>
        <w:rPr>
          <w:sz w:val="12"/>
          <w:szCs w:val="12"/>
        </w:rPr>
      </w:pPr>
      <w:r>
        <w:rPr>
          <w:sz w:val="16"/>
          <w:szCs w:val="16"/>
        </w:rPr>
        <w:t xml:space="preserve">  </w:t>
      </w:r>
    </w:p>
    <w:p w14:paraId="13890277" w14:textId="77777777" w:rsidR="00B7524B" w:rsidRPr="006353A7" w:rsidRDefault="00B7524B" w:rsidP="00B7524B">
      <w:pPr>
        <w:rPr>
          <w:sz w:val="12"/>
          <w:szCs w:val="12"/>
        </w:rPr>
      </w:pPr>
      <w:r>
        <w:rPr>
          <w:sz w:val="20"/>
        </w:rPr>
        <w:t>Minutes of the Council Meeting held on 1</w:t>
      </w:r>
      <w:r w:rsidRPr="00747E57">
        <w:rPr>
          <w:sz w:val="20"/>
          <w:vertAlign w:val="superscript"/>
        </w:rPr>
        <w:t>st</w:t>
      </w:r>
      <w:r>
        <w:rPr>
          <w:sz w:val="20"/>
        </w:rPr>
        <w:t xml:space="preserve"> October 2019 at the Village Hall </w:t>
      </w:r>
      <w:r>
        <w:rPr>
          <w:sz w:val="20"/>
        </w:rPr>
        <w:br/>
      </w:r>
    </w:p>
    <w:p w14:paraId="0A30591D" w14:textId="3A2B8A52" w:rsidR="00B7524B" w:rsidRPr="00827ACB" w:rsidRDefault="00B7524B" w:rsidP="00B7524B">
      <w:pPr>
        <w:jc w:val="both"/>
        <w:rPr>
          <w:sz w:val="16"/>
          <w:szCs w:val="16"/>
        </w:rPr>
      </w:pPr>
      <w:r>
        <w:rPr>
          <w:b/>
          <w:bCs/>
          <w:sz w:val="20"/>
        </w:rPr>
        <w:t>PRESENT:</w:t>
      </w:r>
      <w:r>
        <w:rPr>
          <w:b/>
          <w:bCs/>
          <w:sz w:val="20"/>
        </w:rPr>
        <w:br/>
      </w:r>
      <w:r w:rsidRPr="007A6060">
        <w:rPr>
          <w:sz w:val="20"/>
        </w:rPr>
        <w:t>J. Walker</w:t>
      </w:r>
      <w:r>
        <w:rPr>
          <w:sz w:val="20"/>
        </w:rPr>
        <w:t xml:space="preserve"> (Chairman), </w:t>
      </w:r>
      <w:r w:rsidRPr="00B501C5">
        <w:rPr>
          <w:sz w:val="20"/>
        </w:rPr>
        <w:t>S Fardon</w:t>
      </w:r>
      <w:r>
        <w:rPr>
          <w:sz w:val="20"/>
        </w:rPr>
        <w:t>,</w:t>
      </w:r>
      <w:r w:rsidRPr="00695D04">
        <w:rPr>
          <w:sz w:val="20"/>
        </w:rPr>
        <w:t xml:space="preserve"> M. Frampton</w:t>
      </w:r>
      <w:r>
        <w:rPr>
          <w:sz w:val="20"/>
        </w:rPr>
        <w:t>,</w:t>
      </w:r>
      <w:r w:rsidRPr="006A3AA1">
        <w:rPr>
          <w:sz w:val="20"/>
        </w:rPr>
        <w:t xml:space="preserve"> </w:t>
      </w:r>
      <w:r w:rsidR="00483078">
        <w:rPr>
          <w:sz w:val="20"/>
        </w:rPr>
        <w:t xml:space="preserve">P. Jones, </w:t>
      </w:r>
      <w:r w:rsidRPr="00B501C5">
        <w:rPr>
          <w:sz w:val="20"/>
        </w:rPr>
        <w:t>S Nicholas</w:t>
      </w:r>
      <w:r>
        <w:rPr>
          <w:sz w:val="20"/>
        </w:rPr>
        <w:t>, P Olney, G Sansom, the Clerk, Mrs. Paice &amp; 0 members of the public</w:t>
      </w:r>
    </w:p>
    <w:p w14:paraId="7BD764C1" w14:textId="77777777" w:rsidR="00B7524B" w:rsidRPr="006353A7" w:rsidRDefault="00B7524B" w:rsidP="00B7524B">
      <w:pPr>
        <w:pStyle w:val="BodyText3"/>
        <w:ind w:firstLine="720"/>
        <w:jc w:val="left"/>
        <w:rPr>
          <w:sz w:val="12"/>
          <w:szCs w:val="12"/>
        </w:rPr>
      </w:pPr>
    </w:p>
    <w:tbl>
      <w:tblPr>
        <w:tblW w:w="104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072"/>
        <w:gridCol w:w="850"/>
      </w:tblGrid>
      <w:tr w:rsidR="00B7524B" w:rsidRPr="00B501C5" w14:paraId="438D22CC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13B4C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  <w:r w:rsidRPr="00B501C5">
              <w:rPr>
                <w:b/>
                <w:sz w:val="20"/>
              </w:rPr>
              <w:t>1.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C9DC4" w14:textId="77777777" w:rsidR="00B7524B" w:rsidRPr="000D4D45" w:rsidRDefault="00B7524B" w:rsidP="00EF44B2">
            <w:pPr>
              <w:jc w:val="both"/>
              <w:rPr>
                <w:bCs/>
                <w:sz w:val="20"/>
                <w:szCs w:val="20"/>
              </w:rPr>
            </w:pPr>
            <w:r w:rsidRPr="00B501C5">
              <w:rPr>
                <w:b/>
                <w:sz w:val="20"/>
                <w:szCs w:val="20"/>
                <w:u w:val="single"/>
              </w:rPr>
              <w:t>Public Open Session:</w:t>
            </w:r>
            <w:r w:rsidRPr="00B501C5">
              <w:rPr>
                <w:b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none</w:t>
            </w:r>
          </w:p>
        </w:tc>
      </w:tr>
      <w:tr w:rsidR="00B7524B" w:rsidRPr="00B501C5" w14:paraId="174A7944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C799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20A1C" w14:textId="77777777" w:rsidR="00B7524B" w:rsidRPr="00B501C5" w:rsidRDefault="00B7524B" w:rsidP="00EF44B2">
            <w:pPr>
              <w:jc w:val="both"/>
              <w:rPr>
                <w:sz w:val="20"/>
                <w:szCs w:val="20"/>
              </w:rPr>
            </w:pPr>
          </w:p>
        </w:tc>
      </w:tr>
      <w:tr w:rsidR="00B7524B" w:rsidRPr="00B501C5" w14:paraId="21316AEA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AD5CF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  <w:r w:rsidRPr="00B501C5">
              <w:rPr>
                <w:b/>
                <w:sz w:val="20"/>
              </w:rPr>
              <w:t>2.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93133" w14:textId="75CEECA2" w:rsidR="00B7524B" w:rsidRPr="00B501C5" w:rsidRDefault="00B7524B" w:rsidP="00EF44B2">
            <w:pPr>
              <w:jc w:val="both"/>
              <w:rPr>
                <w:sz w:val="20"/>
              </w:rPr>
            </w:pPr>
            <w:r w:rsidRPr="00B501C5">
              <w:rPr>
                <w:b/>
                <w:sz w:val="20"/>
                <w:u w:val="single"/>
              </w:rPr>
              <w:t>Apologies:</w:t>
            </w:r>
            <w:r w:rsidRPr="00B501C5">
              <w:rPr>
                <w:sz w:val="20"/>
              </w:rPr>
              <w:t xml:space="preserve">  </w:t>
            </w:r>
            <w:r w:rsidR="00ED6105" w:rsidRPr="00145AF9">
              <w:rPr>
                <w:sz w:val="20"/>
              </w:rPr>
              <w:t>J Abbott</w:t>
            </w:r>
            <w:r w:rsidR="00ED6105">
              <w:rPr>
                <w:sz w:val="20"/>
              </w:rPr>
              <w:t xml:space="preserve"> (business), </w:t>
            </w:r>
            <w:r>
              <w:rPr>
                <w:sz w:val="20"/>
              </w:rPr>
              <w:t xml:space="preserve">P Phillips (personal), </w:t>
            </w:r>
            <w:r w:rsidRPr="00601F7E">
              <w:rPr>
                <w:bCs/>
                <w:sz w:val="20"/>
              </w:rPr>
              <w:t>R Saunders</w:t>
            </w:r>
            <w:r>
              <w:rPr>
                <w:bCs/>
                <w:sz w:val="20"/>
              </w:rPr>
              <w:t xml:space="preserve"> (business),</w:t>
            </w:r>
            <w:r>
              <w:rPr>
                <w:sz w:val="20"/>
              </w:rPr>
              <w:t xml:space="preserve"> P White (business)</w:t>
            </w:r>
          </w:p>
        </w:tc>
      </w:tr>
      <w:tr w:rsidR="00B7524B" w:rsidRPr="00B501C5" w14:paraId="71FF09F3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F505F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B43A6" w14:textId="77777777" w:rsidR="00B7524B" w:rsidRPr="00B501C5" w:rsidRDefault="00B7524B" w:rsidP="00EF44B2">
            <w:pPr>
              <w:jc w:val="both"/>
              <w:rPr>
                <w:sz w:val="20"/>
              </w:rPr>
            </w:pPr>
            <w:r w:rsidRPr="00B501C5">
              <w:rPr>
                <w:sz w:val="20"/>
              </w:rPr>
              <w:t xml:space="preserve"> </w:t>
            </w:r>
          </w:p>
        </w:tc>
      </w:tr>
      <w:tr w:rsidR="00B7524B" w:rsidRPr="00B501C5" w14:paraId="76742598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D9687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  <w:r w:rsidRPr="00B501C5">
              <w:rPr>
                <w:b/>
                <w:sz w:val="20"/>
              </w:rPr>
              <w:t>3.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49E92" w14:textId="28BE10A8" w:rsidR="00B7524B" w:rsidRPr="00B501C5" w:rsidRDefault="00B7524B" w:rsidP="00EF44B2">
            <w:pPr>
              <w:jc w:val="both"/>
              <w:rPr>
                <w:sz w:val="20"/>
              </w:rPr>
            </w:pPr>
            <w:r w:rsidRPr="00B501C5">
              <w:rPr>
                <w:b/>
                <w:sz w:val="20"/>
                <w:u w:val="single"/>
              </w:rPr>
              <w:t>Declarations of Interest:</w:t>
            </w:r>
            <w:r w:rsidRPr="00B501C5">
              <w:rPr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 w:rsidR="00483078">
              <w:rPr>
                <w:sz w:val="20"/>
              </w:rPr>
              <w:t xml:space="preserve"> </w:t>
            </w:r>
          </w:p>
        </w:tc>
      </w:tr>
      <w:tr w:rsidR="00B7524B" w:rsidRPr="00B501C5" w14:paraId="42D91787" w14:textId="77777777" w:rsidTr="0095622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34143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B89B9" w14:textId="77777777" w:rsidR="00B7524B" w:rsidRPr="00B501C5" w:rsidRDefault="00B7524B" w:rsidP="00EF44B2">
            <w:pPr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F44A3" w14:textId="77777777" w:rsidR="00B7524B" w:rsidRPr="00B501C5" w:rsidRDefault="00B7524B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  <w:tr w:rsidR="00B7524B" w:rsidRPr="00B501C5" w14:paraId="0FFB9759" w14:textId="77777777" w:rsidTr="0095622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8689E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822F51" w14:textId="77777777" w:rsidR="00B7524B" w:rsidRPr="00B501C5" w:rsidRDefault="00B7524B" w:rsidP="00EF44B2">
            <w:pPr>
              <w:jc w:val="both"/>
              <w:rPr>
                <w:b/>
                <w:sz w:val="20"/>
                <w:u w:val="single"/>
              </w:rPr>
            </w:pPr>
            <w:r w:rsidRPr="00B7524B">
              <w:rPr>
                <w:b/>
                <w:sz w:val="20"/>
                <w:u w:val="single"/>
              </w:rPr>
              <w:t>Response to the Neighbourhood Plan Examiner’s Fact Check Report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5E1FED" w14:textId="5D8F7A34" w:rsidR="00B7524B" w:rsidRPr="00B501C5" w:rsidRDefault="0095622F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Action</w:t>
            </w:r>
          </w:p>
        </w:tc>
      </w:tr>
      <w:tr w:rsidR="00B7524B" w:rsidRPr="00B501C5" w14:paraId="30179368" w14:textId="77777777" w:rsidTr="005D55F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9F96A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C6319" w14:textId="77777777" w:rsidR="00260E08" w:rsidRDefault="00B7524B" w:rsidP="00260E0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Clerk had tabled a draft response to the Examiner based on the comments from the NDP Group.  Bedford BC had already responded and Council supported their comments.</w:t>
            </w:r>
            <w:r w:rsidRPr="00260E08">
              <w:rPr>
                <w:bCs/>
                <w:sz w:val="20"/>
                <w:szCs w:val="20"/>
              </w:rPr>
              <w:t xml:space="preserve">  </w:t>
            </w:r>
          </w:p>
          <w:p w14:paraId="4812274E" w14:textId="227529D9" w:rsidR="00B7524B" w:rsidRPr="00260E08" w:rsidRDefault="0034049B" w:rsidP="00EF44B2">
            <w:pPr>
              <w:jc w:val="both"/>
              <w:rPr>
                <w:sz w:val="20"/>
                <w:szCs w:val="20"/>
              </w:rPr>
            </w:pPr>
            <w:r w:rsidRPr="00260E08">
              <w:rPr>
                <w:bCs/>
                <w:sz w:val="20"/>
                <w:szCs w:val="20"/>
              </w:rPr>
              <w:t xml:space="preserve">NDP Group had </w:t>
            </w:r>
            <w:r w:rsidR="00260E08" w:rsidRPr="00260E08">
              <w:rPr>
                <w:bCs/>
                <w:sz w:val="20"/>
                <w:szCs w:val="20"/>
              </w:rPr>
              <w:t>suggested</w:t>
            </w:r>
            <w:r w:rsidRPr="00260E08">
              <w:rPr>
                <w:bCs/>
                <w:sz w:val="20"/>
                <w:szCs w:val="20"/>
              </w:rPr>
              <w:t xml:space="preserve"> </w:t>
            </w:r>
            <w:r w:rsidR="00260E08" w:rsidRPr="00260E08">
              <w:rPr>
                <w:sz w:val="20"/>
                <w:szCs w:val="20"/>
              </w:rPr>
              <w:t>all the annexes, especially 3 and 4, contain</w:t>
            </w:r>
            <w:r w:rsidR="00691618">
              <w:rPr>
                <w:sz w:val="20"/>
                <w:szCs w:val="20"/>
              </w:rPr>
              <w:t>ed</w:t>
            </w:r>
            <w:r w:rsidR="00260E08" w:rsidRPr="00260E08">
              <w:rPr>
                <w:sz w:val="20"/>
                <w:szCs w:val="20"/>
              </w:rPr>
              <w:t xml:space="preserve"> information which support</w:t>
            </w:r>
            <w:r w:rsidR="00260E08">
              <w:rPr>
                <w:sz w:val="20"/>
                <w:szCs w:val="20"/>
              </w:rPr>
              <w:t>ed</w:t>
            </w:r>
            <w:r w:rsidR="00260E08" w:rsidRPr="00260E08">
              <w:rPr>
                <w:sz w:val="20"/>
                <w:szCs w:val="20"/>
              </w:rPr>
              <w:t xml:space="preserve"> the development of the policies and should have been examined and reported on. </w:t>
            </w:r>
            <w:r w:rsidR="00260E08">
              <w:rPr>
                <w:sz w:val="20"/>
                <w:szCs w:val="20"/>
              </w:rPr>
              <w:t xml:space="preserve"> </w:t>
            </w:r>
            <w:r w:rsidR="00260E08" w:rsidRPr="00260E08">
              <w:rPr>
                <w:sz w:val="20"/>
                <w:szCs w:val="20"/>
              </w:rPr>
              <w:t>Annex 3 contain</w:t>
            </w:r>
            <w:r w:rsidR="00991D56">
              <w:rPr>
                <w:sz w:val="20"/>
                <w:szCs w:val="20"/>
              </w:rPr>
              <w:t>ed</w:t>
            </w:r>
            <w:r w:rsidR="00260E08" w:rsidRPr="00260E08">
              <w:rPr>
                <w:sz w:val="20"/>
                <w:szCs w:val="20"/>
              </w:rPr>
              <w:t xml:space="preserve"> the Oakley Village Landscape Character Assessment an important document which </w:t>
            </w:r>
            <w:r w:rsidR="00991D56">
              <w:rPr>
                <w:sz w:val="20"/>
                <w:szCs w:val="20"/>
              </w:rPr>
              <w:t>wa</w:t>
            </w:r>
            <w:r w:rsidR="00260E08" w:rsidRPr="00260E08">
              <w:rPr>
                <w:sz w:val="20"/>
                <w:szCs w:val="20"/>
              </w:rPr>
              <w:t>s referred to throughout the Neighbourhood Plan.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7AC655" w14:textId="77777777" w:rsidR="00B7524B" w:rsidRPr="00B501C5" w:rsidRDefault="00B7524B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  <w:tr w:rsidR="00B7524B" w:rsidRPr="00B501C5" w14:paraId="235EE572" w14:textId="77777777" w:rsidTr="005D55F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BF3F" w14:textId="77777777" w:rsidR="00B7524B" w:rsidRPr="00260E08" w:rsidRDefault="00B7524B" w:rsidP="00EF44B2">
            <w:pPr>
              <w:jc w:val="center"/>
              <w:rPr>
                <w:bCs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7B8BCA" w14:textId="382E8D11" w:rsidR="00B7524B" w:rsidRPr="00260E08" w:rsidRDefault="00260E08" w:rsidP="00EF44B2">
            <w:pPr>
              <w:jc w:val="both"/>
              <w:rPr>
                <w:bCs/>
                <w:sz w:val="20"/>
              </w:rPr>
            </w:pPr>
            <w:r w:rsidRPr="00260E08">
              <w:rPr>
                <w:bCs/>
                <w:sz w:val="20"/>
              </w:rPr>
              <w:t xml:space="preserve">NDP Group had further suggested that </w:t>
            </w:r>
            <w:r>
              <w:rPr>
                <w:bCs/>
                <w:sz w:val="20"/>
              </w:rPr>
              <w:t>removal of Local Green Spaces 9 (Church Lane) and 10 (</w:t>
            </w:r>
            <w:r w:rsidR="00ED6105">
              <w:rPr>
                <w:bCs/>
                <w:sz w:val="20"/>
              </w:rPr>
              <w:t>Millennium</w:t>
            </w:r>
            <w:r>
              <w:rPr>
                <w:bCs/>
                <w:sz w:val="20"/>
              </w:rPr>
              <w:t xml:space="preserve"> Wood) </w:t>
            </w:r>
            <w:r w:rsidR="00733A3C">
              <w:rPr>
                <w:bCs/>
                <w:sz w:val="20"/>
              </w:rPr>
              <w:t xml:space="preserve">should be reconsidered, as the sites </w:t>
            </w:r>
            <w:r w:rsidR="00ED6105">
              <w:rPr>
                <w:bCs/>
                <w:sz w:val="20"/>
              </w:rPr>
              <w:t>we</w:t>
            </w:r>
            <w:r w:rsidR="00733A3C">
              <w:rPr>
                <w:bCs/>
                <w:sz w:val="20"/>
              </w:rPr>
              <w:t>re local in character and met the requirements of the NPPF.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AE64D4" w14:textId="77777777" w:rsidR="00B7524B" w:rsidRPr="00B501C5" w:rsidRDefault="00B7524B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  <w:tr w:rsidR="00B7524B" w:rsidRPr="00B501C5" w14:paraId="1D3A3091" w14:textId="77777777" w:rsidTr="005D55F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50FE3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64E333" w14:textId="588DFEEE" w:rsidR="00FA2FE6" w:rsidRDefault="00D260B2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Paragraph 4.36</w:t>
            </w:r>
            <w:r w:rsidRPr="00D260B2">
              <w:rPr>
                <w:bCs/>
                <w:sz w:val="20"/>
              </w:rPr>
              <w:t xml:space="preserve"> incorrect</w:t>
            </w:r>
            <w:r>
              <w:rPr>
                <w:bCs/>
                <w:sz w:val="20"/>
              </w:rPr>
              <w:t xml:space="preserve">ly stated that the permissive access along the river at the southern end of site 9 </w:t>
            </w:r>
            <w:r w:rsidR="00FA2FE6">
              <w:rPr>
                <w:bCs/>
                <w:sz w:val="20"/>
              </w:rPr>
              <w:t>was owned by Council and therefore in public ownership.</w:t>
            </w:r>
            <w:r>
              <w:rPr>
                <w:bCs/>
                <w:sz w:val="20"/>
              </w:rPr>
              <w:t xml:space="preserve"> </w:t>
            </w:r>
            <w:r w:rsidR="00FA2FE6">
              <w:rPr>
                <w:bCs/>
                <w:sz w:val="20"/>
              </w:rPr>
              <w:t xml:space="preserve"> </w:t>
            </w:r>
            <w:r w:rsidR="0060624F">
              <w:rPr>
                <w:bCs/>
                <w:sz w:val="20"/>
              </w:rPr>
              <w:t>However, t</w:t>
            </w:r>
            <w:r>
              <w:rPr>
                <w:bCs/>
                <w:sz w:val="20"/>
              </w:rPr>
              <w:t>he land was leased from the landowner who owned site 9.</w:t>
            </w:r>
            <w:r w:rsidR="00FB7CC6">
              <w:rPr>
                <w:bCs/>
                <w:sz w:val="20"/>
              </w:rPr>
              <w:t xml:space="preserve"> </w:t>
            </w:r>
            <w:r w:rsidR="00113A30">
              <w:rPr>
                <w:bCs/>
                <w:sz w:val="20"/>
              </w:rPr>
              <w:t xml:space="preserve"> </w:t>
            </w:r>
            <w:r w:rsidR="00FA2FE6">
              <w:rPr>
                <w:bCs/>
                <w:sz w:val="20"/>
              </w:rPr>
              <w:t>Council agreed to clarify that the path was the area designated M1</w:t>
            </w:r>
            <w:r w:rsidR="0060624F">
              <w:rPr>
                <w:bCs/>
                <w:sz w:val="20"/>
              </w:rPr>
              <w:t xml:space="preserve"> </w:t>
            </w:r>
            <w:r w:rsidR="00FA2FE6">
              <w:rPr>
                <w:bCs/>
                <w:sz w:val="20"/>
              </w:rPr>
              <w:t xml:space="preserve">on the Allocations &amp; Designations Plan </w:t>
            </w:r>
          </w:p>
          <w:p w14:paraId="47DA4A5A" w14:textId="1B961977" w:rsidR="00B7524B" w:rsidRDefault="00FB7CC6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The site was an important landscape area with views across the listed t</w:t>
            </w:r>
            <w:r w:rsidR="00581F74">
              <w:rPr>
                <w:bCs/>
                <w:sz w:val="20"/>
              </w:rPr>
              <w:t>win</w:t>
            </w:r>
            <w:bookmarkStart w:id="0" w:name="_GoBack"/>
            <w:bookmarkEnd w:id="0"/>
            <w:r>
              <w:rPr>
                <w:bCs/>
                <w:sz w:val="20"/>
              </w:rPr>
              <w:t xml:space="preserve"> bridges to Stevington Windmill</w:t>
            </w:r>
            <w:r w:rsidR="00C3236E">
              <w:rPr>
                <w:bCs/>
                <w:sz w:val="20"/>
              </w:rPr>
              <w:t xml:space="preserve"> and was the principal reason the SPA boundary runs along the northern boundary of the site.  T</w:t>
            </w:r>
            <w:r w:rsidR="00C3236E" w:rsidRPr="00C3236E">
              <w:rPr>
                <w:bCs/>
                <w:sz w:val="20"/>
              </w:rPr>
              <w:t xml:space="preserve">his site </w:t>
            </w:r>
            <w:r w:rsidR="00C3236E">
              <w:rPr>
                <w:bCs/>
                <w:sz w:val="20"/>
              </w:rPr>
              <w:t>w</w:t>
            </w:r>
            <w:r w:rsidR="00C3236E" w:rsidRPr="00C3236E">
              <w:rPr>
                <w:bCs/>
                <w:sz w:val="20"/>
              </w:rPr>
              <w:t xml:space="preserve">as </w:t>
            </w:r>
            <w:r w:rsidR="00C3236E">
              <w:rPr>
                <w:bCs/>
                <w:sz w:val="20"/>
              </w:rPr>
              <w:t xml:space="preserve">also </w:t>
            </w:r>
            <w:r w:rsidR="00C3236E" w:rsidRPr="00C3236E">
              <w:rPr>
                <w:bCs/>
                <w:sz w:val="20"/>
              </w:rPr>
              <w:t xml:space="preserve"> rating</w:t>
            </w:r>
            <w:r w:rsidR="00C3236E">
              <w:rPr>
                <w:bCs/>
                <w:sz w:val="20"/>
              </w:rPr>
              <w:t xml:space="preserve"> highest</w:t>
            </w:r>
            <w:r w:rsidR="00C3236E" w:rsidRPr="00C3236E">
              <w:rPr>
                <w:bCs/>
                <w:sz w:val="20"/>
              </w:rPr>
              <w:t xml:space="preserve"> in terms of importance to local people.</w:t>
            </w:r>
            <w:r w:rsidR="0060624F">
              <w:rPr>
                <w:bCs/>
                <w:sz w:val="20"/>
              </w:rPr>
              <w:t xml:space="preserve">  </w:t>
            </w:r>
          </w:p>
          <w:p w14:paraId="174B1BA4" w14:textId="10ADFDBF" w:rsidR="002056D8" w:rsidRPr="002056D8" w:rsidRDefault="0060624F" w:rsidP="002056D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Cllr. Olney commented that </w:t>
            </w:r>
            <w:r w:rsidR="003D057B">
              <w:rPr>
                <w:bCs/>
                <w:sz w:val="20"/>
              </w:rPr>
              <w:t>representations on the dra</w:t>
            </w:r>
            <w:r w:rsidR="002056D8">
              <w:rPr>
                <w:bCs/>
                <w:sz w:val="20"/>
              </w:rPr>
              <w:t>f</w:t>
            </w:r>
            <w:r w:rsidR="003D057B">
              <w:rPr>
                <w:bCs/>
                <w:sz w:val="20"/>
              </w:rPr>
              <w:t xml:space="preserve">t NDP had referred to other Neighbourhood Plans where </w:t>
            </w:r>
            <w:r w:rsidR="002056D8">
              <w:rPr>
                <w:bCs/>
                <w:sz w:val="20"/>
              </w:rPr>
              <w:t xml:space="preserve">green spaces </w:t>
            </w:r>
            <w:r w:rsidR="003D057B">
              <w:rPr>
                <w:bCs/>
                <w:sz w:val="20"/>
              </w:rPr>
              <w:t xml:space="preserve">of 2.5 – 5 ha had been </w:t>
            </w:r>
            <w:r w:rsidR="002056D8">
              <w:rPr>
                <w:bCs/>
                <w:sz w:val="20"/>
              </w:rPr>
              <w:t xml:space="preserve">rejected by their Examiners.  Council discussed whether this should be referenced in the response and agreed to include a statement that </w:t>
            </w:r>
            <w:r w:rsidR="002056D8" w:rsidRPr="002056D8">
              <w:rPr>
                <w:bCs/>
                <w:sz w:val="20"/>
              </w:rPr>
              <w:t>Gladman Developments ha</w:t>
            </w:r>
            <w:r w:rsidR="002056D8">
              <w:rPr>
                <w:bCs/>
                <w:sz w:val="20"/>
              </w:rPr>
              <w:t>d</w:t>
            </w:r>
            <w:r w:rsidR="002056D8" w:rsidRPr="002056D8">
              <w:rPr>
                <w:bCs/>
                <w:sz w:val="20"/>
              </w:rPr>
              <w:t xml:space="preserve"> made representations which include</w:t>
            </w:r>
            <w:r w:rsidR="002056D8">
              <w:rPr>
                <w:bCs/>
                <w:sz w:val="20"/>
              </w:rPr>
              <w:t>d</w:t>
            </w:r>
            <w:r w:rsidR="002056D8" w:rsidRPr="002056D8">
              <w:rPr>
                <w:bCs/>
                <w:sz w:val="20"/>
              </w:rPr>
              <w:t xml:space="preserve"> the definitions of extensive tracts of land in other Neighbourhood Plans.  However, </w:t>
            </w:r>
            <w:r w:rsidR="002056D8">
              <w:rPr>
                <w:bCs/>
                <w:sz w:val="20"/>
              </w:rPr>
              <w:t>Council’s planning co</w:t>
            </w:r>
            <w:r w:rsidR="002056D8" w:rsidRPr="002056D8">
              <w:rPr>
                <w:bCs/>
                <w:sz w:val="20"/>
              </w:rPr>
              <w:t>nsultants, Urban Vision, ha</w:t>
            </w:r>
            <w:r w:rsidR="002056D8">
              <w:rPr>
                <w:bCs/>
                <w:sz w:val="20"/>
              </w:rPr>
              <w:t>d</w:t>
            </w:r>
            <w:r w:rsidR="002056D8" w:rsidRPr="002056D8">
              <w:rPr>
                <w:bCs/>
                <w:sz w:val="20"/>
              </w:rPr>
              <w:t xml:space="preserve"> indicated that 10ha </w:t>
            </w:r>
            <w:r w:rsidR="002056D8">
              <w:rPr>
                <w:bCs/>
                <w:sz w:val="20"/>
              </w:rPr>
              <w:t>wa</w:t>
            </w:r>
            <w:r w:rsidR="002056D8" w:rsidRPr="002056D8">
              <w:rPr>
                <w:bCs/>
                <w:sz w:val="20"/>
              </w:rPr>
              <w:t>s the industry definition and therefore site 9 could be designated as Local Green Space.</w:t>
            </w:r>
          </w:p>
          <w:p w14:paraId="377028F0" w14:textId="5D7DB7E9" w:rsidR="002056D8" w:rsidRPr="002056D8" w:rsidRDefault="0033030B" w:rsidP="002056D8">
            <w:pPr>
              <w:jc w:val="both"/>
              <w:rPr>
                <w:sz w:val="20"/>
              </w:rPr>
            </w:pPr>
            <w:r>
              <w:rPr>
                <w:sz w:val="20"/>
              </w:rPr>
              <w:t>The Examiner had stated that s</w:t>
            </w:r>
            <w:r w:rsidRPr="0033030B">
              <w:rPr>
                <w:sz w:val="20"/>
              </w:rPr>
              <w:t xml:space="preserve">ite 10 </w:t>
            </w:r>
            <w:r>
              <w:rPr>
                <w:sz w:val="20"/>
              </w:rPr>
              <w:t xml:space="preserve">was </w:t>
            </w:r>
            <w:r w:rsidRPr="0033030B">
              <w:rPr>
                <w:sz w:val="20"/>
              </w:rPr>
              <w:t>separated from the village by the railway line and the A6 trunk road.  However, the railway and A6 d</w:t>
            </w:r>
            <w:r>
              <w:rPr>
                <w:sz w:val="20"/>
              </w:rPr>
              <w:t>id</w:t>
            </w:r>
            <w:r w:rsidRPr="0033030B">
              <w:rPr>
                <w:sz w:val="20"/>
              </w:rPr>
              <w:t xml:space="preserve"> not provide any physical barrier to accessing the site as Highfield Road bridge</w:t>
            </w:r>
            <w:r>
              <w:rPr>
                <w:sz w:val="20"/>
              </w:rPr>
              <w:t>d</w:t>
            </w:r>
            <w:r w:rsidRPr="0033030B">
              <w:rPr>
                <w:sz w:val="20"/>
              </w:rPr>
              <w:t xml:space="preserve"> both</w:t>
            </w:r>
            <w:r>
              <w:rPr>
                <w:sz w:val="20"/>
              </w:rPr>
              <w:t xml:space="preserve"> and Council agreed to add this clarification</w:t>
            </w:r>
            <w:r w:rsidRPr="0033030B">
              <w:rPr>
                <w:sz w:val="20"/>
              </w:rPr>
              <w:t xml:space="preserve">.  Browns Wood and the Millennium </w:t>
            </w:r>
            <w:r>
              <w:rPr>
                <w:sz w:val="20"/>
              </w:rPr>
              <w:t>Wood</w:t>
            </w:r>
            <w:r w:rsidRPr="0033030B">
              <w:rPr>
                <w:sz w:val="20"/>
              </w:rPr>
              <w:t xml:space="preserve"> </w:t>
            </w:r>
            <w:r>
              <w:rPr>
                <w:sz w:val="20"/>
              </w:rPr>
              <w:t>could be</w:t>
            </w:r>
            <w:r w:rsidRPr="0033030B">
              <w:rPr>
                <w:sz w:val="20"/>
              </w:rPr>
              <w:t xml:space="preserve"> accessed by foot from the village</w:t>
            </w:r>
            <w:r>
              <w:rPr>
                <w:sz w:val="20"/>
              </w:rPr>
              <w:t xml:space="preserve"> and were important to local residents.</w:t>
            </w:r>
          </w:p>
          <w:p w14:paraId="1B8975E5" w14:textId="6219DEC2" w:rsidR="0060624F" w:rsidRDefault="007D406C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References to the “Inspector” were changed to the “Examiner “for accuracy.  </w:t>
            </w:r>
          </w:p>
          <w:p w14:paraId="6CE1758B" w14:textId="0102F249" w:rsidR="005D55F1" w:rsidRDefault="005D55F1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Proposed by Cllr.</w:t>
            </w:r>
            <w:r w:rsidR="007D406C">
              <w:rPr>
                <w:bCs/>
                <w:sz w:val="20"/>
              </w:rPr>
              <w:t xml:space="preserve"> Frampton</w:t>
            </w:r>
            <w:r>
              <w:rPr>
                <w:bCs/>
                <w:sz w:val="20"/>
              </w:rPr>
              <w:t>, seconded by Cllr.</w:t>
            </w:r>
            <w:r w:rsidR="007D406C">
              <w:rPr>
                <w:bCs/>
                <w:sz w:val="20"/>
              </w:rPr>
              <w:t xml:space="preserve"> Fardon</w:t>
            </w:r>
            <w:r>
              <w:rPr>
                <w:bCs/>
                <w:sz w:val="20"/>
              </w:rPr>
              <w:t xml:space="preserve"> that </w:t>
            </w:r>
            <w:r w:rsidR="007D406C">
              <w:rPr>
                <w:bCs/>
                <w:sz w:val="20"/>
              </w:rPr>
              <w:t xml:space="preserve">the </w:t>
            </w:r>
            <w:r>
              <w:rPr>
                <w:bCs/>
                <w:sz w:val="20"/>
              </w:rPr>
              <w:t>draft response be approved</w:t>
            </w:r>
          </w:p>
          <w:p w14:paraId="249C7A46" w14:textId="77777777" w:rsidR="005D55F1" w:rsidRDefault="005D55F1" w:rsidP="00EF44B2">
            <w:pPr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Resolved</w:t>
            </w:r>
            <w:r>
              <w:rPr>
                <w:bCs/>
                <w:sz w:val="20"/>
              </w:rPr>
              <w:t xml:space="preserve">  </w:t>
            </w:r>
          </w:p>
          <w:p w14:paraId="16D27C47" w14:textId="77777777" w:rsidR="005D55F1" w:rsidRDefault="005D55F1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Clerk to forward to Examiner</w:t>
            </w:r>
          </w:p>
          <w:p w14:paraId="138F1B8C" w14:textId="633D2DF5" w:rsidR="002468D9" w:rsidRPr="005D55F1" w:rsidRDefault="002468D9" w:rsidP="00EF44B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Council thanked the Clerk for her work on the </w:t>
            </w:r>
            <w:r w:rsidR="0083764C">
              <w:rPr>
                <w:bCs/>
                <w:sz w:val="20"/>
              </w:rPr>
              <w:t>NDP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75F7A6" w14:textId="77777777" w:rsidR="00B7524B" w:rsidRDefault="00B7524B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093F9CE1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7E21F16E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3C00BF37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3C51AD8D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3B331620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2C0C5625" w14:textId="77777777" w:rsidR="005D55F1" w:rsidRDefault="005D55F1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  <w:p w14:paraId="238D7B73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0AFE6226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3A5D78E1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41D3E155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3D8C305C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073068C7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452F78B3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4480AD5A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37CA315B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058B4993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455BA464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10DEAF92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4F5C8881" w14:textId="77777777" w:rsidR="00574EFF" w:rsidRDefault="00574EFF" w:rsidP="00EF44B2">
            <w:pPr>
              <w:ind w:left="34" w:right="-108" w:hanging="34"/>
              <w:jc w:val="center"/>
              <w:rPr>
                <w:bCs/>
                <w:sz w:val="20"/>
              </w:rPr>
            </w:pPr>
          </w:p>
          <w:p w14:paraId="74207BCC" w14:textId="2BED9ECC" w:rsidR="005D55F1" w:rsidRPr="005D55F1" w:rsidRDefault="005D55F1" w:rsidP="0083764C">
            <w:pPr>
              <w:ind w:right="-108"/>
              <w:jc w:val="center"/>
              <w:rPr>
                <w:bCs/>
                <w:sz w:val="20"/>
              </w:rPr>
            </w:pPr>
            <w:r w:rsidRPr="005D55F1">
              <w:rPr>
                <w:bCs/>
                <w:sz w:val="20"/>
              </w:rPr>
              <w:t>Clerk</w:t>
            </w:r>
          </w:p>
        </w:tc>
      </w:tr>
      <w:tr w:rsidR="00B7524B" w:rsidRPr="00B501C5" w14:paraId="3764F224" w14:textId="77777777" w:rsidTr="005D55F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F8AD" w14:textId="77777777" w:rsidR="00B7524B" w:rsidRPr="00B501C5" w:rsidRDefault="00B7524B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1E20F" w14:textId="77777777" w:rsidR="00B7524B" w:rsidRPr="00B501C5" w:rsidRDefault="00B7524B" w:rsidP="00EF44B2">
            <w:pPr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A31CB" w14:textId="77777777" w:rsidR="00B7524B" w:rsidRPr="00B501C5" w:rsidRDefault="00B7524B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  <w:tr w:rsidR="00C051F0" w:rsidRPr="00B501C5" w14:paraId="5553951A" w14:textId="77777777" w:rsidTr="005D55F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6F08D" w14:textId="2B43A555" w:rsidR="00C051F0" w:rsidRPr="00B501C5" w:rsidRDefault="00C051F0" w:rsidP="00EF4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73DCB" w14:textId="38F12AE9" w:rsidR="00C051F0" w:rsidRPr="00B501C5" w:rsidRDefault="00C051F0" w:rsidP="00EF44B2">
            <w:pPr>
              <w:jc w:val="both"/>
              <w:rPr>
                <w:b/>
                <w:sz w:val="20"/>
                <w:u w:val="single"/>
              </w:rPr>
            </w:pPr>
            <w:r w:rsidRPr="00C051F0">
              <w:rPr>
                <w:b/>
                <w:sz w:val="20"/>
                <w:u w:val="single"/>
              </w:rPr>
              <w:t>Date of Next Meeting</w:t>
            </w:r>
            <w:r w:rsidRPr="00C051F0">
              <w:rPr>
                <w:bCs/>
                <w:sz w:val="20"/>
              </w:rPr>
              <w:t xml:space="preserve"> –  5</w:t>
            </w:r>
            <w:r w:rsidRPr="00C051F0">
              <w:rPr>
                <w:bCs/>
                <w:sz w:val="20"/>
                <w:vertAlign w:val="superscript"/>
              </w:rPr>
              <w:t>th</w:t>
            </w:r>
            <w:r w:rsidRPr="00C051F0">
              <w:rPr>
                <w:bCs/>
                <w:sz w:val="20"/>
              </w:rPr>
              <w:t xml:space="preserve"> November 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A7627" w14:textId="77777777" w:rsidR="00C051F0" w:rsidRPr="00B501C5" w:rsidRDefault="00C051F0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  <w:tr w:rsidR="00C051F0" w:rsidRPr="00B501C5" w14:paraId="37768C5F" w14:textId="77777777" w:rsidTr="00EF44B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6FA6D" w14:textId="77777777" w:rsidR="00C051F0" w:rsidRPr="00B501C5" w:rsidRDefault="00C051F0" w:rsidP="00EF44B2">
            <w:pPr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1FCF1" w14:textId="77777777" w:rsidR="00C051F0" w:rsidRPr="00B501C5" w:rsidRDefault="00C051F0" w:rsidP="00EF44B2">
            <w:pPr>
              <w:jc w:val="both"/>
              <w:rPr>
                <w:b/>
                <w:sz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7F1F" w14:textId="77777777" w:rsidR="00C051F0" w:rsidRPr="00B501C5" w:rsidRDefault="00C051F0" w:rsidP="00EF44B2">
            <w:pPr>
              <w:ind w:left="34" w:right="-108" w:hanging="34"/>
              <w:jc w:val="center"/>
              <w:rPr>
                <w:bCs/>
                <w:sz w:val="20"/>
                <w:u w:val="single"/>
              </w:rPr>
            </w:pPr>
          </w:p>
        </w:tc>
      </w:tr>
    </w:tbl>
    <w:p w14:paraId="36AA2E2A" w14:textId="77777777" w:rsidR="00B7524B" w:rsidRDefault="00B7524B"/>
    <w:sectPr w:rsidR="00B7524B" w:rsidSect="00B75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4B"/>
    <w:rsid w:val="00113A30"/>
    <w:rsid w:val="002056D8"/>
    <w:rsid w:val="002468D9"/>
    <w:rsid w:val="00260E08"/>
    <w:rsid w:val="0033030B"/>
    <w:rsid w:val="0034049B"/>
    <w:rsid w:val="003D057B"/>
    <w:rsid w:val="00444E00"/>
    <w:rsid w:val="00483078"/>
    <w:rsid w:val="00574EFF"/>
    <w:rsid w:val="00581F74"/>
    <w:rsid w:val="005D55F1"/>
    <w:rsid w:val="0060624F"/>
    <w:rsid w:val="00691618"/>
    <w:rsid w:val="00733A3C"/>
    <w:rsid w:val="007D406C"/>
    <w:rsid w:val="0083764C"/>
    <w:rsid w:val="0095622F"/>
    <w:rsid w:val="00991D56"/>
    <w:rsid w:val="00B7524B"/>
    <w:rsid w:val="00C051F0"/>
    <w:rsid w:val="00C3236E"/>
    <w:rsid w:val="00D260B2"/>
    <w:rsid w:val="00ED6105"/>
    <w:rsid w:val="00FA2FE6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07D7"/>
  <w15:chartTrackingRefBased/>
  <w15:docId w15:val="{57DBEBB3-A241-4A57-BEB1-C0153659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524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2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B7524B"/>
    <w:pPr>
      <w:jc w:val="both"/>
    </w:pPr>
    <w:rPr>
      <w:b/>
      <w:bCs/>
      <w:sz w:val="20"/>
      <w:szCs w:val="20"/>
      <w:u w:val="single"/>
      <w:lang w:val="x-none"/>
    </w:rPr>
  </w:style>
  <w:style w:type="character" w:customStyle="1" w:styleId="BodyText3Char">
    <w:name w:val="Body Text 3 Char"/>
    <w:basedOn w:val="DefaultParagraphFont"/>
    <w:link w:val="BodyText3"/>
    <w:semiHidden/>
    <w:rsid w:val="00B7524B"/>
    <w:rPr>
      <w:rFonts w:ascii="Times New Roman" w:eastAsia="Times New Roman" w:hAnsi="Times New Roman" w:cs="Times New Roman"/>
      <w:b/>
      <w:bCs/>
      <w:sz w:val="20"/>
      <w:szCs w:val="20"/>
      <w:u w:val="single"/>
      <w:lang w:val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2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75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524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Parish</dc:creator>
  <cp:keywords/>
  <dc:description/>
  <cp:lastModifiedBy>Oakley Parish</cp:lastModifiedBy>
  <cp:revision>22</cp:revision>
  <dcterms:created xsi:type="dcterms:W3CDTF">2019-10-16T14:41:00Z</dcterms:created>
  <dcterms:modified xsi:type="dcterms:W3CDTF">2019-10-18T12:46:00Z</dcterms:modified>
</cp:coreProperties>
</file>